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4465CE" w14:textId="4087D8A9" w:rsidR="00741788" w:rsidRPr="00741788" w:rsidRDefault="00741788" w:rsidP="00741788">
      <w:pPr>
        <w:jc w:val="center"/>
        <w:rPr>
          <w:rFonts w:ascii="Segoe UI" w:hAnsi="Segoe UI" w:cs="Segoe UI"/>
          <w:b/>
          <w:bCs/>
          <w:color w:val="C00000"/>
          <w:sz w:val="32"/>
          <w:szCs w:val="32"/>
        </w:rPr>
      </w:pPr>
      <w:r w:rsidRPr="00741788">
        <w:rPr>
          <w:rFonts w:ascii="Segoe UI" w:hAnsi="Segoe UI" w:cs="Segoe UI"/>
          <w:b/>
          <w:bCs/>
          <w:color w:val="C00000"/>
          <w:sz w:val="32"/>
          <w:szCs w:val="32"/>
        </w:rPr>
        <w:t>¿</w:t>
      </w:r>
      <w:r w:rsidR="00070B51">
        <w:rPr>
          <w:rFonts w:ascii="Segoe UI" w:hAnsi="Segoe UI" w:cs="Segoe UI"/>
          <w:b/>
          <w:bCs/>
          <w:color w:val="C00000"/>
          <w:sz w:val="32"/>
          <w:szCs w:val="32"/>
        </w:rPr>
        <w:t>La tecnología nos puede ayudar</w:t>
      </w:r>
      <w:r w:rsidRPr="00741788">
        <w:rPr>
          <w:rFonts w:ascii="Segoe UI" w:hAnsi="Segoe UI" w:cs="Segoe UI"/>
          <w:b/>
          <w:bCs/>
          <w:color w:val="C00000"/>
          <w:sz w:val="32"/>
          <w:szCs w:val="32"/>
        </w:rPr>
        <w:t xml:space="preserve"> a cuidar el planeta?</w:t>
      </w:r>
    </w:p>
    <w:p w14:paraId="7F5D9564" w14:textId="276C3A1F" w:rsidR="00660416" w:rsidRDefault="00992D8F" w:rsidP="00660416">
      <w:pPr>
        <w:spacing w:after="0" w:line="240" w:lineRule="auto"/>
      </w:pPr>
      <w:r>
        <w:t xml:space="preserve">El </w:t>
      </w:r>
      <w:r w:rsidR="00660416">
        <w:t>Día</w:t>
      </w:r>
      <w:r w:rsidR="00B9446C">
        <w:t xml:space="preserve"> Internacional</w:t>
      </w:r>
      <w:r w:rsidR="00660416">
        <w:t xml:space="preserve"> de la Tierra</w:t>
      </w:r>
      <w:r w:rsidR="00F37226">
        <w:t>, es un buen momento</w:t>
      </w:r>
      <w:r w:rsidR="00B9446C">
        <w:t xml:space="preserve"> para </w:t>
      </w:r>
      <w:r w:rsidR="00660416">
        <w:t xml:space="preserve">reflexionar sobre el impacto de nuestras acciones </w:t>
      </w:r>
      <w:r w:rsidR="00274D79">
        <w:t>sobre</w:t>
      </w:r>
      <w:r w:rsidR="00660416">
        <w:t xml:space="preserve"> el medioambiente. En este contexto, </w:t>
      </w:r>
      <w:r w:rsidR="00B9446C">
        <w:t>la tecnología que utilizamos todos los días se perfila como</w:t>
      </w:r>
      <w:r w:rsidR="00F37226">
        <w:t xml:space="preserve"> una</w:t>
      </w:r>
      <w:r w:rsidR="00B9446C">
        <w:t xml:space="preserve"> aliada</w:t>
      </w:r>
      <w:r w:rsidR="00660416">
        <w:t xml:space="preserve"> clave</w:t>
      </w:r>
      <w:r w:rsidR="00F37226">
        <w:t xml:space="preserve"> que contribuye</w:t>
      </w:r>
      <w:r w:rsidR="00F37226" w:rsidRPr="00F37226">
        <w:t xml:space="preserve"> </w:t>
      </w:r>
      <w:r w:rsidR="00F37226">
        <w:t xml:space="preserve">a reducir la huella ecológica desde nuestros hogares, </w:t>
      </w:r>
      <w:r w:rsidR="00660416">
        <w:t>al optimizar recursos como la energía y el agua</w:t>
      </w:r>
      <w:r w:rsidR="00F37226">
        <w:t>.</w:t>
      </w:r>
    </w:p>
    <w:p w14:paraId="44391523" w14:textId="77777777" w:rsidR="00660416" w:rsidRDefault="00660416" w:rsidP="00660416">
      <w:pPr>
        <w:spacing w:after="0" w:line="240" w:lineRule="auto"/>
      </w:pPr>
    </w:p>
    <w:p w14:paraId="5CECCAA3" w14:textId="7A5BCB36" w:rsidR="00660416" w:rsidRDefault="00660416" w:rsidP="00660416">
      <w:pPr>
        <w:spacing w:after="0" w:line="240" w:lineRule="auto"/>
      </w:pPr>
      <w:r>
        <w:t>La creciente preocupación ambiental ha impulsado a las familias mexicanas a adoptar tecnologías sostenibles. De acuerdo con la Comisión Federal de Electricidad (CFE)</w:t>
      </w:r>
      <w:r w:rsidR="00331EEF">
        <w:rPr>
          <w:rStyle w:val="FootnoteReference"/>
        </w:rPr>
        <w:footnoteReference w:id="1"/>
      </w:r>
      <w:r>
        <w:t xml:space="preserve">, en un hogar </w:t>
      </w:r>
      <w:r w:rsidR="00274D79">
        <w:t xml:space="preserve">mexicano </w:t>
      </w:r>
      <w:r>
        <w:t>pr</w:t>
      </w:r>
      <w:r w:rsidR="00F37226">
        <w:t>omedio, los electrodomésticos,</w:t>
      </w:r>
      <w:r>
        <w:t xml:space="preserve"> la ilumina</w:t>
      </w:r>
      <w:r w:rsidR="00F37226">
        <w:t>ción e instalaciones eléctricas</w:t>
      </w:r>
      <w:r>
        <w:t xml:space="preserve"> representan cerca del 66% del consumo total de electricidad. </w:t>
      </w:r>
    </w:p>
    <w:p w14:paraId="0326B0C7" w14:textId="77777777" w:rsidR="00660416" w:rsidRDefault="00660416" w:rsidP="00660416">
      <w:pPr>
        <w:spacing w:after="0" w:line="240" w:lineRule="auto"/>
      </w:pPr>
    </w:p>
    <w:p w14:paraId="7E58626F" w14:textId="749C8A3E" w:rsidR="00660416" w:rsidRDefault="00660416" w:rsidP="00660416">
      <w:pPr>
        <w:spacing w:after="0" w:line="240" w:lineRule="auto"/>
      </w:pPr>
      <w:r>
        <w:t>E</w:t>
      </w:r>
      <w:r w:rsidR="000B0AFF">
        <w:t>l</w:t>
      </w:r>
      <w:r>
        <w:t xml:space="preserve"> interés </w:t>
      </w:r>
      <w:r w:rsidR="000B0AFF">
        <w:t>de los mexicanos por cambiar sus electrodomésticos por versiones más eficientes</w:t>
      </w:r>
      <w:r w:rsidR="00C11111">
        <w:t>,</w:t>
      </w:r>
      <w:r w:rsidR="000B0AFF">
        <w:t xml:space="preserve"> </w:t>
      </w:r>
      <w:r w:rsidR="00C27C3A">
        <w:t>ha incrementado</w:t>
      </w:r>
      <w:r>
        <w:t xml:space="preserve"> </w:t>
      </w:r>
      <w:r w:rsidR="00C27C3A">
        <w:t>a partir de la pandemia de COVID-19</w:t>
      </w:r>
      <w:r w:rsidR="00C11111">
        <w:t xml:space="preserve"> </w:t>
      </w:r>
      <w:r w:rsidR="00C27C3A">
        <w:t>que contribuyó</w:t>
      </w:r>
      <w:r w:rsidR="00AB25FA">
        <w:t xml:space="preserve"> a que el </w:t>
      </w:r>
      <w:r>
        <w:t>consumo energético en los hogares</w:t>
      </w:r>
      <w:r w:rsidR="00C27C3A">
        <w:t xml:space="preserve"> aumentara</w:t>
      </w:r>
      <w:r w:rsidR="006A354C">
        <w:t xml:space="preserve"> año con año</w:t>
      </w:r>
      <w:r w:rsidR="00AB25FA">
        <w:t xml:space="preserve">. De acuerdo con la CFE, el </w:t>
      </w:r>
      <w:r>
        <w:t>aument</w:t>
      </w:r>
      <w:r w:rsidR="00AB25FA">
        <w:t>o en 202</w:t>
      </w:r>
      <w:r w:rsidR="00346DF4">
        <w:t>3</w:t>
      </w:r>
      <w:r w:rsidR="00346DF4">
        <w:rPr>
          <w:rStyle w:val="FootnoteReference"/>
        </w:rPr>
        <w:footnoteReference w:id="2"/>
      </w:r>
      <w:r w:rsidR="00AB25FA">
        <w:t xml:space="preserve"> fue de</w:t>
      </w:r>
      <w:r>
        <w:t xml:space="preserve"> 10.9% debido al trabajo, estudio y entretenimiento en casa, </w:t>
      </w:r>
      <w:r w:rsidR="00C27C3A">
        <w:t xml:space="preserve">adicional a </w:t>
      </w:r>
      <w:r>
        <w:t>las temperaturas</w:t>
      </w:r>
      <w:r w:rsidR="00C27C3A">
        <w:t xml:space="preserve"> climáticas</w:t>
      </w:r>
      <w:r>
        <w:t xml:space="preserve"> extremas.</w:t>
      </w:r>
    </w:p>
    <w:p w14:paraId="1FC5399C" w14:textId="77777777" w:rsidR="00660416" w:rsidRDefault="00660416" w:rsidP="00660416">
      <w:pPr>
        <w:spacing w:after="0" w:line="240" w:lineRule="auto"/>
      </w:pPr>
    </w:p>
    <w:p w14:paraId="6C3FD4D6" w14:textId="77777777" w:rsidR="00660416" w:rsidRPr="000B0AFF" w:rsidRDefault="00660416" w:rsidP="00660416">
      <w:pPr>
        <w:spacing w:after="0" w:line="240" w:lineRule="auto"/>
        <w:rPr>
          <w:b/>
          <w:bCs/>
          <w:color w:val="C00000"/>
        </w:rPr>
      </w:pPr>
      <w:r w:rsidRPr="000B0AFF">
        <w:rPr>
          <w:b/>
          <w:bCs/>
          <w:color w:val="C00000"/>
        </w:rPr>
        <w:t>Eficiencia energética en casa</w:t>
      </w:r>
    </w:p>
    <w:p w14:paraId="67D4F44D" w14:textId="77777777" w:rsidR="00660416" w:rsidRDefault="00660416" w:rsidP="00660416">
      <w:pPr>
        <w:spacing w:after="0" w:line="240" w:lineRule="auto"/>
      </w:pPr>
    </w:p>
    <w:p w14:paraId="6FAD10CD" w14:textId="0E18C07E" w:rsidR="00660416" w:rsidRDefault="00660416" w:rsidP="00660416">
      <w:pPr>
        <w:spacing w:after="0" w:line="240" w:lineRule="auto"/>
      </w:pPr>
      <w:r>
        <w:t>Los electrodomésticos inteligentes</w:t>
      </w:r>
      <w:r w:rsidR="00344AA2">
        <w:t xml:space="preserve"> actualmente</w:t>
      </w:r>
      <w:r>
        <w:t xml:space="preserve"> están diseñados para consumir menos energía sin sacrificar </w:t>
      </w:r>
      <w:r w:rsidR="00344AA2">
        <w:t xml:space="preserve">su </w:t>
      </w:r>
      <w:r>
        <w:t xml:space="preserve">rendimiento. Gracias a </w:t>
      </w:r>
      <w:r w:rsidR="00344AA2">
        <w:t>su Inteligencia Artificial (IA)</w:t>
      </w:r>
      <w:r>
        <w:t xml:space="preserve">, pueden adaptarse a los hábitos del usuario, operar en horarios de menor demanda eléctrica y evitar el desperdicio. </w:t>
      </w:r>
      <w:r w:rsidR="000B0AFF">
        <w:t>Esto reduce</w:t>
      </w:r>
      <w:r>
        <w:t xml:space="preserve"> el consumo</w:t>
      </w:r>
      <w:r w:rsidR="004A76DC">
        <w:t xml:space="preserve"> energético</w:t>
      </w:r>
      <w:r>
        <w:t xml:space="preserve">, </w:t>
      </w:r>
      <w:r w:rsidR="00C83DDB">
        <w:t>así como</w:t>
      </w:r>
      <w:r>
        <w:t xml:space="preserve"> las emisiones de gases de efecto invernadero.</w:t>
      </w:r>
    </w:p>
    <w:p w14:paraId="5D6A78B7" w14:textId="77777777" w:rsidR="00660416" w:rsidRDefault="00660416" w:rsidP="00660416">
      <w:pPr>
        <w:spacing w:after="0" w:line="240" w:lineRule="auto"/>
      </w:pPr>
    </w:p>
    <w:p w14:paraId="58A5E237" w14:textId="0D1987DE" w:rsidR="00660416" w:rsidRDefault="00660416" w:rsidP="00660416">
      <w:pPr>
        <w:spacing w:after="0" w:line="240" w:lineRule="auto"/>
      </w:pPr>
      <w:r>
        <w:t>Según el Departamento de Energía de Estados Unidos</w:t>
      </w:r>
      <w:r w:rsidR="00783604">
        <w:rPr>
          <w:rStyle w:val="FootnoteReference"/>
        </w:rPr>
        <w:footnoteReference w:id="3"/>
      </w:r>
      <w:r>
        <w:t>, los aparatos con certificación ENERGY STAR</w:t>
      </w:r>
      <w:r w:rsidR="00344AA2" w:rsidRPr="00344AA2">
        <w:t>®</w:t>
      </w:r>
      <w:r>
        <w:t xml:space="preserve"> pueden consumir entre 10% y 50% menos energía que los modelos estándar, dependiendo del tipo de dispositivo.</w:t>
      </w:r>
      <w:r w:rsidR="00344AA2" w:rsidRPr="00344AA2">
        <w:t xml:space="preserve"> Cada año, ENERGY STAR® distingue a un selecto grupo de empresas y organizaciones que han hecho contribuciones sobresalientes a la eficiencia energética</w:t>
      </w:r>
      <w:r w:rsidR="006A354C">
        <w:t xml:space="preserve"> y e</w:t>
      </w:r>
      <w:r w:rsidR="00344AA2">
        <w:t xml:space="preserve">l año pasado LG </w:t>
      </w:r>
      <w:proofErr w:type="spellStart"/>
      <w:r w:rsidR="00344AA2">
        <w:t>Electronics</w:t>
      </w:r>
      <w:proofErr w:type="spellEnd"/>
      <w:r w:rsidR="00344AA2">
        <w:t xml:space="preserve"> fue reconocido como el socio del añ</w:t>
      </w:r>
      <w:r w:rsidR="00D35A01">
        <w:t xml:space="preserve">o por su excelencia sostenible por sus aportaciones </w:t>
      </w:r>
      <w:r w:rsidR="006A354C">
        <w:t>en</w:t>
      </w:r>
      <w:r w:rsidR="00D35A01">
        <w:t xml:space="preserve"> los hogares. </w:t>
      </w:r>
    </w:p>
    <w:p w14:paraId="4DD275DF" w14:textId="77777777" w:rsidR="00344AA2" w:rsidRDefault="00344AA2" w:rsidP="00660416">
      <w:pPr>
        <w:spacing w:after="0" w:line="240" w:lineRule="auto"/>
      </w:pPr>
    </w:p>
    <w:p w14:paraId="44AE2792" w14:textId="5AB36F27" w:rsidR="00660416" w:rsidRPr="000B0AFF" w:rsidRDefault="00660416" w:rsidP="00660416">
      <w:pPr>
        <w:spacing w:after="0" w:line="240" w:lineRule="auto"/>
        <w:rPr>
          <w:b/>
          <w:bCs/>
          <w:color w:val="C00000"/>
        </w:rPr>
      </w:pPr>
      <w:r w:rsidRPr="000B0AFF">
        <w:rPr>
          <w:b/>
          <w:bCs/>
          <w:color w:val="C00000"/>
        </w:rPr>
        <w:t>Ahorro de agua:</w:t>
      </w:r>
      <w:r w:rsidR="005930A5" w:rsidRPr="000B0AFF">
        <w:rPr>
          <w:b/>
          <w:bCs/>
          <w:color w:val="C00000"/>
        </w:rPr>
        <w:t xml:space="preserve"> </w:t>
      </w:r>
      <w:r w:rsidRPr="000B0AFF">
        <w:rPr>
          <w:b/>
          <w:bCs/>
          <w:color w:val="C00000"/>
        </w:rPr>
        <w:t>prioridad global</w:t>
      </w:r>
    </w:p>
    <w:p w14:paraId="6830EDD1" w14:textId="77777777" w:rsidR="00660416" w:rsidRDefault="00660416" w:rsidP="00660416">
      <w:pPr>
        <w:spacing w:after="0" w:line="240" w:lineRule="auto"/>
      </w:pPr>
    </w:p>
    <w:p w14:paraId="38206CB4" w14:textId="3FCBEBF0" w:rsidR="00660416" w:rsidRDefault="00660416" w:rsidP="00660416">
      <w:pPr>
        <w:spacing w:after="0" w:line="240" w:lineRule="auto"/>
      </w:pPr>
      <w:r>
        <w:t xml:space="preserve">Además del ahorro energético, algunos electrodomésticos inteligentes —como lavadoras o lavavajillas— también reducen significativamente el consumo de agua. </w:t>
      </w:r>
      <w:r w:rsidR="00C83DDB">
        <w:t>P</w:t>
      </w:r>
      <w:r w:rsidR="00D35A01">
        <w:t xml:space="preserve">or medio de </w:t>
      </w:r>
      <w:r>
        <w:t xml:space="preserve">sensores y funciones de inteligencia artificial, ajustan el gasto hídrico según la carga, evitando el desperdicio sin </w:t>
      </w:r>
      <w:r>
        <w:lastRenderedPageBreak/>
        <w:t>afectar el rendimiento. La Agencia Internacional de Energía (IEA)</w:t>
      </w:r>
      <w:r w:rsidR="00B71995">
        <w:rPr>
          <w:rStyle w:val="FootnoteReference"/>
        </w:rPr>
        <w:footnoteReference w:id="4"/>
      </w:r>
      <w:r>
        <w:t xml:space="preserve"> estima que este tipo de tecnologías pueden reducir el uso de agua entre un 20% y un 30%.</w:t>
      </w:r>
    </w:p>
    <w:p w14:paraId="4EF6FFF2" w14:textId="77777777" w:rsidR="00660416" w:rsidRDefault="00660416" w:rsidP="00660416">
      <w:pPr>
        <w:spacing w:after="0" w:line="240" w:lineRule="auto"/>
      </w:pPr>
    </w:p>
    <w:p w14:paraId="74C5B67C" w14:textId="77777777" w:rsidR="00660416" w:rsidRDefault="00660416" w:rsidP="00660416">
      <w:pPr>
        <w:spacing w:after="0" w:line="240" w:lineRule="auto"/>
        <w:rPr>
          <w:b/>
          <w:bCs/>
          <w:color w:val="C00000"/>
        </w:rPr>
      </w:pPr>
      <w:r w:rsidRPr="000B0AFF">
        <w:rPr>
          <w:b/>
          <w:bCs/>
          <w:color w:val="C00000"/>
        </w:rPr>
        <w:t>Tecnología e innovación sostenible</w:t>
      </w:r>
    </w:p>
    <w:p w14:paraId="4D012E4A" w14:textId="77777777" w:rsidR="005528A4" w:rsidRDefault="005528A4" w:rsidP="00660416">
      <w:pPr>
        <w:spacing w:after="0" w:line="240" w:lineRule="auto"/>
        <w:rPr>
          <w:rFonts w:eastAsia="Times New Roman"/>
          <w:lang w:eastAsia="es-MX"/>
        </w:rPr>
      </w:pPr>
    </w:p>
    <w:p w14:paraId="77727F3D" w14:textId="4142E82E" w:rsidR="005528A4" w:rsidRPr="00EE3396" w:rsidRDefault="00EE3396" w:rsidP="00660416">
      <w:pPr>
        <w:spacing w:after="0" w:line="240" w:lineRule="auto"/>
      </w:pPr>
      <w:r>
        <w:t xml:space="preserve">LG </w:t>
      </w:r>
      <w:proofErr w:type="spellStart"/>
      <w:r>
        <w:t>Electronics</w:t>
      </w:r>
      <w:proofErr w:type="spellEnd"/>
      <w:r>
        <w:t xml:space="preserve"> fue reconocida internacionalmente por sus televisores </w:t>
      </w:r>
      <w:hyperlink r:id="rId7" w:history="1">
        <w:r w:rsidRPr="000B0AFF">
          <w:rPr>
            <w:rStyle w:val="Hyperlink"/>
          </w:rPr>
          <w:t>OLED 2025</w:t>
        </w:r>
      </w:hyperlink>
      <w:r>
        <w:t xml:space="preserve"> </w:t>
      </w:r>
      <w:r>
        <w:rPr>
          <w:rFonts w:eastAsia="Times New Roman"/>
          <w:lang w:eastAsia="es-MX"/>
        </w:rPr>
        <w:t>que</w:t>
      </w:r>
      <w:r w:rsidR="005528A4" w:rsidRPr="1B242E52">
        <w:rPr>
          <w:rFonts w:eastAsia="Times New Roman"/>
          <w:lang w:eastAsia="es-MX"/>
        </w:rPr>
        <w:t xml:space="preserve"> destacan en </w:t>
      </w:r>
      <w:r>
        <w:rPr>
          <w:rFonts w:eastAsia="Times New Roman"/>
          <w:lang w:eastAsia="es-MX"/>
        </w:rPr>
        <w:t>innovación sostenible</w:t>
      </w:r>
      <w:r w:rsidR="005528A4" w:rsidRPr="1B242E52">
        <w:rPr>
          <w:rFonts w:eastAsia="Times New Roman"/>
          <w:lang w:eastAsia="es-MX"/>
        </w:rPr>
        <w:t xml:space="preserve"> debido a su tecnología</w:t>
      </w:r>
      <w:r w:rsidR="00900144">
        <w:rPr>
          <w:rFonts w:eastAsia="Times New Roman"/>
          <w:lang w:eastAsia="es-MX"/>
        </w:rPr>
        <w:t xml:space="preserve"> </w:t>
      </w:r>
      <w:r w:rsidR="005528A4" w:rsidRPr="1B242E52">
        <w:rPr>
          <w:rFonts w:eastAsia="Times New Roman"/>
          <w:lang w:eastAsia="es-MX"/>
        </w:rPr>
        <w:t>que elimina la necesidad de una luz de fondo, reduciendo la cantidad de componentes y el uso gen</w:t>
      </w:r>
      <w:r w:rsidR="005528A4">
        <w:rPr>
          <w:rFonts w:eastAsia="Times New Roman"/>
          <w:lang w:eastAsia="es-MX"/>
        </w:rPr>
        <w:t xml:space="preserve">eral de materiales. </w:t>
      </w:r>
    </w:p>
    <w:p w14:paraId="5FF6AF80" w14:textId="77777777" w:rsidR="00660416" w:rsidRDefault="00660416" w:rsidP="00660416">
      <w:pPr>
        <w:spacing w:after="0" w:line="240" w:lineRule="auto"/>
      </w:pPr>
    </w:p>
    <w:p w14:paraId="15B7B677" w14:textId="57E44EDE" w:rsidR="00660416" w:rsidRDefault="00660416" w:rsidP="00660416">
      <w:pPr>
        <w:spacing w:after="0" w:line="240" w:lineRule="auto"/>
      </w:pPr>
      <w:r>
        <w:t xml:space="preserve">Estos equipos, además de contar con </w:t>
      </w:r>
      <w:r w:rsidR="00490214">
        <w:t>IA</w:t>
      </w:r>
      <w:r>
        <w:t>, están fabricados con materiales ecoeficientes que minimizan el uso de plásticos y las emisiones de carbono. LG prevé reducir 16</w:t>
      </w:r>
      <w:r w:rsidR="00DA43AC">
        <w:t xml:space="preserve"> mil </w:t>
      </w:r>
      <w:r>
        <w:t>toneladas de plástico y 84</w:t>
      </w:r>
      <w:r w:rsidR="00DA43AC">
        <w:t xml:space="preserve"> mil </w:t>
      </w:r>
      <w:r>
        <w:t>toneladas de CO₂ en 2025, una cifra equivalente a la absorción de un bosque de pinos de 30 años del tamaño de 11</w:t>
      </w:r>
      <w:r w:rsidR="00DA43AC">
        <w:t xml:space="preserve"> mil </w:t>
      </w:r>
      <w:r>
        <w:t>campos de fútbol americano.</w:t>
      </w:r>
    </w:p>
    <w:p w14:paraId="43DFBB76" w14:textId="77777777" w:rsidR="00660416" w:rsidRDefault="00660416" w:rsidP="00660416">
      <w:pPr>
        <w:spacing w:after="0" w:line="240" w:lineRule="auto"/>
      </w:pPr>
    </w:p>
    <w:p w14:paraId="79277B99" w14:textId="45D1F3AD" w:rsidR="00660416" w:rsidRDefault="00660416" w:rsidP="00660416">
      <w:pPr>
        <w:spacing w:after="0" w:line="240" w:lineRule="auto"/>
      </w:pPr>
      <w:r>
        <w:t xml:space="preserve">Los televisores LG OLED evo 2025 </w:t>
      </w:r>
      <w:r w:rsidR="00D038BA">
        <w:t xml:space="preserve">fueron otorgadas de </w:t>
      </w:r>
      <w:r w:rsidR="00490214">
        <w:t>certificaciones</w:t>
      </w:r>
      <w:r>
        <w:t xml:space="preserve"> </w:t>
      </w:r>
      <w:proofErr w:type="spellStart"/>
      <w:r w:rsidR="00EE3396">
        <w:t>Carbon</w:t>
      </w:r>
      <w:proofErr w:type="spellEnd"/>
      <w:r w:rsidR="00EE3396">
        <w:t xml:space="preserve"> Trust e </w:t>
      </w:r>
      <w:proofErr w:type="spellStart"/>
      <w:r w:rsidR="00EE3396">
        <w:t>Intertek</w:t>
      </w:r>
      <w:proofErr w:type="spellEnd"/>
      <w:r w:rsidR="00EE3396">
        <w:t>, por</w:t>
      </w:r>
      <w:r>
        <w:t xml:space="preserve"> cumplir con criterios de </w:t>
      </w:r>
      <w:r w:rsidR="00EE3396" w:rsidRPr="00EE3396">
        <w:t>eficiencia de materiales que abarca el diseño reciclable, el uso reducido de sustancias nocivas y la facilidad de reparación</w:t>
      </w:r>
      <w:r w:rsidR="00D038BA">
        <w:t>;</w:t>
      </w:r>
      <w:r w:rsidR="00EE3396" w:rsidRPr="00EE3396">
        <w:t xml:space="preserve"> así como la eficiencia energética e incorporación de plásticos reciclados.</w:t>
      </w:r>
      <w:r w:rsidR="00EE3396">
        <w:t xml:space="preserve"> </w:t>
      </w:r>
    </w:p>
    <w:p w14:paraId="7ABDA5B3" w14:textId="77777777" w:rsidR="00660416" w:rsidRDefault="00660416" w:rsidP="00660416">
      <w:pPr>
        <w:spacing w:after="0" w:line="240" w:lineRule="auto"/>
      </w:pPr>
    </w:p>
    <w:p w14:paraId="588AAD73" w14:textId="77777777" w:rsidR="00660416" w:rsidRPr="000B0AFF" w:rsidRDefault="00660416" w:rsidP="00660416">
      <w:pPr>
        <w:spacing w:after="0" w:line="240" w:lineRule="auto"/>
        <w:rPr>
          <w:b/>
          <w:bCs/>
          <w:color w:val="C00000"/>
        </w:rPr>
      </w:pPr>
      <w:r w:rsidRPr="000B0AFF">
        <w:rPr>
          <w:b/>
          <w:bCs/>
          <w:color w:val="C00000"/>
        </w:rPr>
        <w:t>Consumo consciente y empoderamiento</w:t>
      </w:r>
    </w:p>
    <w:p w14:paraId="5B2D047E" w14:textId="77777777" w:rsidR="00660416" w:rsidRDefault="00660416" w:rsidP="00660416">
      <w:pPr>
        <w:spacing w:after="0" w:line="240" w:lineRule="auto"/>
      </w:pPr>
    </w:p>
    <w:p w14:paraId="4EE43E4D" w14:textId="304C94FB" w:rsidR="00613D7E" w:rsidRDefault="00660416" w:rsidP="00741788">
      <w:pPr>
        <w:spacing w:after="0" w:line="240" w:lineRule="auto"/>
      </w:pPr>
      <w:r>
        <w:t xml:space="preserve">Más allá del ahorro, los electrodomésticos inteligentes fomentan un consumo más consciente. </w:t>
      </w:r>
      <w:r w:rsidR="00D038BA">
        <w:t xml:space="preserve">La tecnología </w:t>
      </w:r>
      <w:proofErr w:type="spellStart"/>
      <w:r w:rsidR="00D038BA">
        <w:t>ThinQ</w:t>
      </w:r>
      <w:proofErr w:type="spellEnd"/>
      <w:r w:rsidR="00D038BA">
        <w:t xml:space="preserve"> </w:t>
      </w:r>
      <w:r>
        <w:t>permite monitorear en tiempo real el uso de recursos, lo que ayuda a formar háb</w:t>
      </w:r>
      <w:r w:rsidR="00613D7E">
        <w:t xml:space="preserve">itos responsables y sostenibles pues </w:t>
      </w:r>
      <w:r w:rsidR="00613D7E" w:rsidRPr="00613D7E">
        <w:t>aprende de los hábitos del usuario, anticipa necesidades y busca brindar una experiencia personalizada</w:t>
      </w:r>
      <w:r w:rsidR="00613D7E">
        <w:t>.</w:t>
      </w:r>
    </w:p>
    <w:p w14:paraId="48A30BFD" w14:textId="77777777" w:rsidR="00613D7E" w:rsidRDefault="00613D7E" w:rsidP="00741788">
      <w:pPr>
        <w:spacing w:after="0" w:line="240" w:lineRule="auto"/>
      </w:pPr>
    </w:p>
    <w:p w14:paraId="4211BF23" w14:textId="07D35F1B" w:rsidR="00741788" w:rsidRDefault="00331EEF" w:rsidP="00741788">
      <w:pPr>
        <w:spacing w:after="0" w:line="240" w:lineRule="auto"/>
      </w:pPr>
      <w:r>
        <w:t xml:space="preserve"> </w:t>
      </w:r>
      <w:r w:rsidR="00660416">
        <w:t xml:space="preserve">En este Día </w:t>
      </w:r>
      <w:r w:rsidR="00490214">
        <w:t xml:space="preserve">Internacional </w:t>
      </w:r>
      <w:r w:rsidR="00660416">
        <w:t xml:space="preserve">de la Tierra, es importante reconocer que la tecnología </w:t>
      </w:r>
      <w:r w:rsidR="004A582A">
        <w:t xml:space="preserve">es </w:t>
      </w:r>
      <w:r w:rsidR="00660416">
        <w:t>una herramienta para el cambio</w:t>
      </w:r>
      <w:r w:rsidR="00242AF9">
        <w:t xml:space="preserve"> que actúa de forma "menos artificial, más humana</w:t>
      </w:r>
      <w:r w:rsidR="00242AF9" w:rsidRPr="00242AF9">
        <w:t>"</w:t>
      </w:r>
      <w:r w:rsidR="00660416">
        <w:t xml:space="preserve">. </w:t>
      </w:r>
      <w:r w:rsidR="00490214">
        <w:t>Esto nos demuestra que l</w:t>
      </w:r>
      <w:r w:rsidR="00242AF9">
        <w:t>a vida es buena porque podemos a</w:t>
      </w:r>
      <w:r w:rsidR="00660416">
        <w:t>postar por electrodomésticos inte</w:t>
      </w:r>
      <w:r w:rsidR="00242AF9">
        <w:t>ligentes</w:t>
      </w:r>
      <w:r w:rsidR="00490214">
        <w:t xml:space="preserve"> que nos permiten contribuir al cuidado del planeta desde nuestros hogares con </w:t>
      </w:r>
      <w:r w:rsidR="00242AF9">
        <w:t>sólo</w:t>
      </w:r>
      <w:r w:rsidR="00660416">
        <w:t xml:space="preserve"> una</w:t>
      </w:r>
      <w:r w:rsidR="00490214">
        <w:t xml:space="preserve"> acción concreta y accesible</w:t>
      </w:r>
      <w:r w:rsidR="00242AF9">
        <w:t xml:space="preserve">. </w:t>
      </w:r>
      <w:proofErr w:type="spellStart"/>
      <w:r w:rsidR="00242AF9">
        <w:t>Life´s</w:t>
      </w:r>
      <w:proofErr w:type="spellEnd"/>
      <w:r w:rsidR="00242AF9">
        <w:t xml:space="preserve"> </w:t>
      </w:r>
      <w:proofErr w:type="spellStart"/>
      <w:r w:rsidR="00242AF9">
        <w:t>good</w:t>
      </w:r>
      <w:proofErr w:type="spellEnd"/>
      <w:r w:rsidR="00242AF9">
        <w:t>!</w:t>
      </w:r>
    </w:p>
    <w:p w14:paraId="7B8267A8" w14:textId="77777777" w:rsidR="00242AF9" w:rsidRDefault="00242AF9" w:rsidP="00741788">
      <w:pPr>
        <w:spacing w:after="0" w:line="240" w:lineRule="auto"/>
      </w:pPr>
      <w:bookmarkStart w:id="0" w:name="_GoBack"/>
      <w:bookmarkEnd w:id="0"/>
    </w:p>
    <w:p w14:paraId="08C0764C" w14:textId="77777777" w:rsidR="00B601A6" w:rsidRPr="00B601A6" w:rsidRDefault="00B601A6" w:rsidP="00B601A6">
      <w:pPr>
        <w:spacing w:after="0" w:line="240" w:lineRule="auto"/>
        <w:rPr>
          <w:b/>
          <w:sz w:val="16"/>
        </w:rPr>
      </w:pPr>
      <w:r w:rsidRPr="00B601A6">
        <w:rPr>
          <w:b/>
          <w:sz w:val="16"/>
        </w:rPr>
        <w:t xml:space="preserve">Acerca de LG </w:t>
      </w:r>
      <w:proofErr w:type="spellStart"/>
      <w:r w:rsidRPr="00B601A6">
        <w:rPr>
          <w:b/>
          <w:sz w:val="16"/>
        </w:rPr>
        <w:t>Electronics</w:t>
      </w:r>
      <w:proofErr w:type="spellEnd"/>
      <w:r w:rsidRPr="00B601A6">
        <w:rPr>
          <w:b/>
          <w:sz w:val="16"/>
        </w:rPr>
        <w:t>, Inc.</w:t>
      </w:r>
    </w:p>
    <w:p w14:paraId="5A86ECB1" w14:textId="77777777" w:rsidR="00B601A6" w:rsidRPr="00B601A6" w:rsidRDefault="00B601A6" w:rsidP="00B601A6">
      <w:pPr>
        <w:spacing w:after="0" w:line="240" w:lineRule="auto"/>
        <w:rPr>
          <w:sz w:val="16"/>
        </w:rPr>
      </w:pPr>
    </w:p>
    <w:p w14:paraId="1757E565" w14:textId="30A82D80" w:rsidR="00B601A6" w:rsidRDefault="00B601A6" w:rsidP="00B601A6">
      <w:pPr>
        <w:spacing w:after="0" w:line="240" w:lineRule="auto"/>
        <w:rPr>
          <w:sz w:val="18"/>
        </w:rPr>
      </w:pPr>
      <w:r w:rsidRPr="00B601A6">
        <w:rPr>
          <w:i/>
          <w:sz w:val="16"/>
        </w:rPr>
        <w:t xml:space="preserve">LG </w:t>
      </w:r>
      <w:proofErr w:type="spellStart"/>
      <w:r w:rsidRPr="00B601A6">
        <w:rPr>
          <w:i/>
          <w:sz w:val="16"/>
        </w:rPr>
        <w:t>Electronics</w:t>
      </w:r>
      <w:proofErr w:type="spellEnd"/>
      <w:r w:rsidRPr="00B601A6">
        <w:rPr>
          <w:i/>
          <w:sz w:val="16"/>
        </w:rPr>
        <w:t xml:space="preserve"> es un innovador mundial en tecnología y electrónica de consumo con presencia en casi todos los países y una plantilla internacional de más de 74,000 trabajadores. Las cuatro empresas de LG - Home </w:t>
      </w:r>
      <w:proofErr w:type="spellStart"/>
      <w:r w:rsidRPr="00B601A6">
        <w:rPr>
          <w:i/>
          <w:sz w:val="16"/>
        </w:rPr>
        <w:t>Appliance</w:t>
      </w:r>
      <w:proofErr w:type="spellEnd"/>
      <w:r w:rsidRPr="00B601A6">
        <w:rPr>
          <w:i/>
          <w:sz w:val="16"/>
        </w:rPr>
        <w:t xml:space="preserve"> </w:t>
      </w:r>
      <w:proofErr w:type="spellStart"/>
      <w:r w:rsidRPr="00B601A6">
        <w:rPr>
          <w:i/>
          <w:sz w:val="16"/>
        </w:rPr>
        <w:t>Solution</w:t>
      </w:r>
      <w:proofErr w:type="spellEnd"/>
      <w:r w:rsidRPr="00B601A6">
        <w:rPr>
          <w:i/>
          <w:sz w:val="16"/>
        </w:rPr>
        <w:t xml:space="preserve">, Media </w:t>
      </w:r>
      <w:proofErr w:type="spellStart"/>
      <w:r w:rsidRPr="00B601A6">
        <w:rPr>
          <w:i/>
          <w:sz w:val="16"/>
        </w:rPr>
        <w:t>Entertainment</w:t>
      </w:r>
      <w:proofErr w:type="spellEnd"/>
      <w:r w:rsidRPr="00B601A6">
        <w:rPr>
          <w:i/>
          <w:sz w:val="16"/>
        </w:rPr>
        <w:t xml:space="preserve"> </w:t>
      </w:r>
      <w:proofErr w:type="spellStart"/>
      <w:r w:rsidRPr="00B601A6">
        <w:rPr>
          <w:i/>
          <w:sz w:val="16"/>
        </w:rPr>
        <w:t>Solution</w:t>
      </w:r>
      <w:proofErr w:type="spellEnd"/>
      <w:r w:rsidRPr="00B601A6">
        <w:rPr>
          <w:i/>
          <w:sz w:val="16"/>
        </w:rPr>
        <w:t xml:space="preserve">, </w:t>
      </w:r>
      <w:proofErr w:type="spellStart"/>
      <w:r w:rsidRPr="00B601A6">
        <w:rPr>
          <w:i/>
          <w:sz w:val="16"/>
        </w:rPr>
        <w:t>Vehicle</w:t>
      </w:r>
      <w:proofErr w:type="spellEnd"/>
      <w:r w:rsidRPr="00B601A6">
        <w:rPr>
          <w:i/>
          <w:sz w:val="16"/>
        </w:rPr>
        <w:t xml:space="preserve"> </w:t>
      </w:r>
      <w:proofErr w:type="spellStart"/>
      <w:r w:rsidRPr="00B601A6">
        <w:rPr>
          <w:i/>
          <w:sz w:val="16"/>
        </w:rPr>
        <w:t>Solution</w:t>
      </w:r>
      <w:proofErr w:type="spellEnd"/>
      <w:r w:rsidRPr="00B601A6">
        <w:rPr>
          <w:i/>
          <w:sz w:val="16"/>
        </w:rPr>
        <w:t xml:space="preserve"> y Eco </w:t>
      </w:r>
      <w:proofErr w:type="spellStart"/>
      <w:r w:rsidRPr="00B601A6">
        <w:rPr>
          <w:i/>
          <w:sz w:val="16"/>
        </w:rPr>
        <w:t>Solution</w:t>
      </w:r>
      <w:proofErr w:type="spellEnd"/>
      <w:r w:rsidRPr="00B601A6">
        <w:rPr>
          <w:i/>
          <w:sz w:val="16"/>
        </w:rPr>
        <w:t xml:space="preserve"> - suman unos ingresos globales de más de 88 billones de KRW en 2024. LG es un fabricante líder de productos de consumo y comerciales que van desde televisores, electrodomésticos, soluciones de aire, monitores, componentes y soluciones de automoción, y sus marcas </w:t>
      </w:r>
      <w:proofErr w:type="spellStart"/>
      <w:r w:rsidRPr="00B601A6">
        <w:rPr>
          <w:i/>
          <w:sz w:val="16"/>
        </w:rPr>
        <w:t>premium</w:t>
      </w:r>
      <w:proofErr w:type="spellEnd"/>
      <w:r w:rsidRPr="00B601A6">
        <w:rPr>
          <w:i/>
          <w:sz w:val="16"/>
        </w:rPr>
        <w:t xml:space="preserve"> LG SIGNATURE y la inteligente LG </w:t>
      </w:r>
      <w:proofErr w:type="spellStart"/>
      <w:r w:rsidRPr="00B601A6">
        <w:rPr>
          <w:i/>
          <w:sz w:val="16"/>
        </w:rPr>
        <w:t>ThinQ</w:t>
      </w:r>
      <w:proofErr w:type="spellEnd"/>
      <w:r w:rsidRPr="00B601A6">
        <w:rPr>
          <w:i/>
          <w:sz w:val="16"/>
        </w:rPr>
        <w:t xml:space="preserve"> son nombres conocidos en todo el mundo. Visite www.LGnewsroom.com para conocer las últimas noticias.</w:t>
      </w:r>
    </w:p>
    <w:p w14:paraId="28973C31" w14:textId="77777777" w:rsidR="00B601A6" w:rsidRPr="00992D8F" w:rsidRDefault="00B601A6" w:rsidP="00B601A6">
      <w:pPr>
        <w:pStyle w:val="NormalWeb"/>
        <w:shd w:val="clear" w:color="auto" w:fill="FFFFFF"/>
        <w:spacing w:after="0" w:afterAutospacing="0"/>
        <w:rPr>
          <w:rFonts w:ascii="Calibri" w:hAnsi="Calibri" w:cs="Calibri"/>
          <w:color w:val="1A1A1A"/>
          <w:sz w:val="14"/>
          <w:szCs w:val="36"/>
          <w:lang w:val="es-MX"/>
        </w:rPr>
      </w:pPr>
      <w:r w:rsidRPr="00992D8F">
        <w:rPr>
          <w:rFonts w:ascii="Calibri" w:hAnsi="Calibri" w:cs="Calibri"/>
          <w:b/>
          <w:bCs/>
          <w:i/>
          <w:iCs/>
          <w:color w:val="1A1A1A"/>
          <w:sz w:val="14"/>
          <w:szCs w:val="36"/>
          <w:lang w:val="es-MX"/>
        </w:rPr>
        <w:t>Contacto de Prensa:</w:t>
      </w:r>
      <w:r w:rsidRPr="00992D8F">
        <w:rPr>
          <w:rFonts w:ascii="Calibri" w:hAnsi="Calibri" w:cs="Calibri"/>
          <w:color w:val="1A1A1A"/>
          <w:sz w:val="14"/>
          <w:szCs w:val="36"/>
          <w:lang w:val="es-MX"/>
        </w:rPr>
        <w:t>     </w:t>
      </w:r>
    </w:p>
    <w:tbl>
      <w:tblPr>
        <w:tblW w:w="11040" w:type="dxa"/>
        <w:tblCellSpacing w:w="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8"/>
        <w:gridCol w:w="2277"/>
        <w:gridCol w:w="2684"/>
        <w:gridCol w:w="3921"/>
      </w:tblGrid>
      <w:tr w:rsidR="00B601A6" w:rsidRPr="00992D8F" w14:paraId="118B1D39" w14:textId="77777777" w:rsidTr="00B601A6">
        <w:trPr>
          <w:tblCellSpacing w:w="20" w:type="dxa"/>
        </w:trPr>
        <w:tc>
          <w:tcPr>
            <w:tcW w:w="2119" w:type="dxa"/>
            <w:shd w:val="clear" w:color="auto" w:fill="FFFFFF"/>
            <w:hideMark/>
          </w:tcPr>
          <w:p w14:paraId="0D64D668" w14:textId="77777777" w:rsidR="00B601A6" w:rsidRPr="00B601A6" w:rsidRDefault="00B601A6" w:rsidP="00B601A6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1A1A1A"/>
                <w:sz w:val="14"/>
                <w:szCs w:val="36"/>
                <w:lang w:val="es-MX"/>
              </w:rPr>
            </w:pPr>
            <w:r w:rsidRPr="00B601A6">
              <w:rPr>
                <w:rFonts w:ascii="Calibri" w:hAnsi="Calibri" w:cs="Calibri"/>
                <w:b/>
                <w:bCs/>
                <w:i/>
                <w:iCs/>
                <w:color w:val="1A1A1A"/>
                <w:sz w:val="14"/>
                <w:szCs w:val="36"/>
                <w:lang w:val="es-MX"/>
              </w:rPr>
              <w:t xml:space="preserve">LG </w:t>
            </w:r>
            <w:proofErr w:type="spellStart"/>
            <w:r w:rsidRPr="00B601A6">
              <w:rPr>
                <w:rFonts w:ascii="Calibri" w:hAnsi="Calibri" w:cs="Calibri"/>
                <w:b/>
                <w:bCs/>
                <w:i/>
                <w:iCs/>
                <w:color w:val="1A1A1A"/>
                <w:sz w:val="14"/>
                <w:szCs w:val="36"/>
                <w:lang w:val="es-MX"/>
              </w:rPr>
              <w:t>Electronics</w:t>
            </w:r>
            <w:proofErr w:type="spellEnd"/>
            <w:r w:rsidRPr="00B601A6">
              <w:rPr>
                <w:rFonts w:ascii="Calibri" w:hAnsi="Calibri" w:cs="Calibri"/>
                <w:b/>
                <w:bCs/>
                <w:i/>
                <w:iCs/>
                <w:color w:val="1A1A1A"/>
                <w:sz w:val="14"/>
                <w:szCs w:val="36"/>
                <w:lang w:val="es-MX"/>
              </w:rPr>
              <w:t xml:space="preserve"> México </w:t>
            </w:r>
            <w:r w:rsidRPr="00B601A6">
              <w:rPr>
                <w:rFonts w:ascii="Calibri" w:hAnsi="Calibri" w:cs="Calibri"/>
                <w:color w:val="1A1A1A"/>
                <w:sz w:val="14"/>
                <w:szCs w:val="36"/>
                <w:lang w:val="es-MX"/>
              </w:rPr>
              <w:t>   </w:t>
            </w:r>
          </w:p>
          <w:p w14:paraId="4B64D2F4" w14:textId="77777777" w:rsidR="00B601A6" w:rsidRDefault="00B601A6" w:rsidP="00B601A6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1A1A1A"/>
                <w:sz w:val="14"/>
                <w:szCs w:val="36"/>
                <w:lang w:val="es-MX"/>
              </w:rPr>
            </w:pPr>
            <w:r w:rsidRPr="00B601A6">
              <w:rPr>
                <w:rFonts w:ascii="Calibri" w:hAnsi="Calibri" w:cs="Calibri"/>
                <w:color w:val="1A1A1A"/>
                <w:sz w:val="14"/>
                <w:szCs w:val="36"/>
                <w:lang w:val="es-MX"/>
              </w:rPr>
              <w:t>Daniel Aguilar Gallego     </w:t>
            </w:r>
          </w:p>
          <w:p w14:paraId="7AC180AB" w14:textId="77777777" w:rsidR="00B5384F" w:rsidRDefault="00B601A6" w:rsidP="00B5384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1A1A1A"/>
                <w:sz w:val="14"/>
                <w:szCs w:val="36"/>
                <w:lang w:val="es-MX"/>
              </w:rPr>
            </w:pPr>
            <w:r w:rsidRPr="00B601A6">
              <w:rPr>
                <w:rFonts w:ascii="Calibri" w:hAnsi="Calibri" w:cs="Calibri"/>
                <w:color w:val="1A1A1A"/>
                <w:sz w:val="14"/>
                <w:szCs w:val="36"/>
                <w:lang w:val="es-MX"/>
              </w:rPr>
              <w:t>Media &amp; PR     </w:t>
            </w:r>
          </w:p>
          <w:p w14:paraId="3620908B" w14:textId="6C7211B6" w:rsidR="00B601A6" w:rsidRPr="00B601A6" w:rsidRDefault="00B601A6" w:rsidP="00B5384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1A1A1A"/>
                <w:sz w:val="14"/>
                <w:szCs w:val="36"/>
                <w:lang w:val="es-MX"/>
              </w:rPr>
            </w:pPr>
            <w:r>
              <w:rPr>
                <w:rFonts w:ascii="Calibri" w:hAnsi="Calibri" w:cs="Calibri"/>
                <w:color w:val="1A1A1A"/>
                <w:sz w:val="14"/>
                <w:szCs w:val="36"/>
                <w:lang w:val="es-MX"/>
              </w:rPr>
              <w:t>Tel.  555321-1977</w:t>
            </w:r>
            <w:r w:rsidRPr="00B601A6">
              <w:rPr>
                <w:rFonts w:ascii="Calibri" w:hAnsi="Calibri" w:cs="Calibri"/>
                <w:color w:val="1A1A1A"/>
                <w:sz w:val="14"/>
                <w:szCs w:val="36"/>
                <w:lang w:val="es-MX"/>
              </w:rPr>
              <w:t>          </w:t>
            </w:r>
          </w:p>
          <w:p w14:paraId="1A55E277" w14:textId="77777777" w:rsidR="00B601A6" w:rsidRPr="00B601A6" w:rsidRDefault="00992D8F">
            <w:pPr>
              <w:pStyle w:val="NormalWeb"/>
              <w:spacing w:after="0" w:afterAutospacing="0"/>
              <w:rPr>
                <w:rFonts w:ascii="Calibri" w:hAnsi="Calibri" w:cs="Calibri"/>
                <w:color w:val="1A1A1A"/>
                <w:sz w:val="14"/>
                <w:szCs w:val="36"/>
                <w:lang w:val="es-MX"/>
              </w:rPr>
            </w:pPr>
            <w:hyperlink r:id="rId8" w:history="1">
              <w:r w:rsidR="00B601A6" w:rsidRPr="00B601A6">
                <w:rPr>
                  <w:rStyle w:val="Hyperlink"/>
                  <w:rFonts w:ascii="Calibri" w:eastAsiaTheme="majorEastAsia" w:hAnsi="Calibri" w:cs="Calibri"/>
                  <w:b/>
                  <w:bCs/>
                  <w:sz w:val="14"/>
                  <w:szCs w:val="36"/>
                  <w:lang w:val="es-MX"/>
                </w:rPr>
                <w:t>daniel.aguilar@lge.com</w:t>
              </w:r>
            </w:hyperlink>
            <w:r w:rsidR="00B601A6" w:rsidRPr="00B601A6">
              <w:rPr>
                <w:rFonts w:ascii="Calibri" w:hAnsi="Calibri" w:cs="Calibri"/>
                <w:color w:val="1A1A1A"/>
                <w:sz w:val="14"/>
                <w:szCs w:val="36"/>
                <w:lang w:val="es-MX"/>
              </w:rPr>
              <w:t>    </w:t>
            </w:r>
          </w:p>
        </w:tc>
        <w:tc>
          <w:tcPr>
            <w:tcW w:w="2268" w:type="dxa"/>
            <w:shd w:val="clear" w:color="auto" w:fill="FFFFFF"/>
            <w:hideMark/>
          </w:tcPr>
          <w:p w14:paraId="70C31B73" w14:textId="77777777" w:rsidR="00B601A6" w:rsidRDefault="00B601A6" w:rsidP="00B601A6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b/>
                <w:bCs/>
                <w:color w:val="1A1A1A"/>
                <w:sz w:val="14"/>
                <w:szCs w:val="36"/>
                <w:lang w:val="es-MX"/>
              </w:rPr>
            </w:pPr>
            <w:r w:rsidRPr="00B601A6">
              <w:rPr>
                <w:rFonts w:ascii="Calibri" w:hAnsi="Calibri" w:cs="Calibri"/>
                <w:b/>
                <w:bCs/>
                <w:color w:val="1A1A1A"/>
                <w:sz w:val="14"/>
                <w:szCs w:val="36"/>
                <w:lang w:val="es-MX"/>
              </w:rPr>
              <w:t xml:space="preserve">LG </w:t>
            </w:r>
            <w:proofErr w:type="spellStart"/>
            <w:r w:rsidRPr="00B601A6">
              <w:rPr>
                <w:rFonts w:ascii="Calibri" w:hAnsi="Calibri" w:cs="Calibri"/>
                <w:b/>
                <w:bCs/>
                <w:color w:val="1A1A1A"/>
                <w:sz w:val="14"/>
                <w:szCs w:val="36"/>
                <w:lang w:val="es-MX"/>
              </w:rPr>
              <w:t>Electronics</w:t>
            </w:r>
            <w:proofErr w:type="spellEnd"/>
            <w:r w:rsidRPr="00B601A6">
              <w:rPr>
                <w:rFonts w:ascii="Calibri" w:hAnsi="Calibri" w:cs="Calibri"/>
                <w:b/>
                <w:bCs/>
                <w:color w:val="1A1A1A"/>
                <w:sz w:val="14"/>
                <w:szCs w:val="36"/>
                <w:lang w:val="es-MX"/>
              </w:rPr>
              <w:t xml:space="preserve"> México</w:t>
            </w:r>
          </w:p>
          <w:p w14:paraId="7E89FC24" w14:textId="77777777" w:rsidR="00B601A6" w:rsidRDefault="00B601A6" w:rsidP="00B601A6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1A1A1A"/>
                <w:sz w:val="14"/>
                <w:szCs w:val="36"/>
                <w:lang w:val="es-MX"/>
              </w:rPr>
            </w:pPr>
            <w:r w:rsidRPr="00B601A6">
              <w:rPr>
                <w:rFonts w:ascii="Calibri" w:hAnsi="Calibri" w:cs="Calibri"/>
                <w:color w:val="1A1A1A"/>
                <w:sz w:val="14"/>
                <w:szCs w:val="36"/>
                <w:lang w:val="es-MX"/>
              </w:rPr>
              <w:t>Daniela Medel</w:t>
            </w:r>
          </w:p>
          <w:p w14:paraId="0103CE64" w14:textId="77777777" w:rsidR="00B5384F" w:rsidRDefault="00B601A6" w:rsidP="00B5384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1A1A1A"/>
                <w:sz w:val="14"/>
                <w:szCs w:val="36"/>
                <w:lang w:val="es-MX"/>
              </w:rPr>
            </w:pPr>
            <w:r w:rsidRPr="00B601A6">
              <w:rPr>
                <w:rFonts w:ascii="Calibri" w:hAnsi="Calibri" w:cs="Calibri"/>
                <w:color w:val="1A1A1A"/>
                <w:sz w:val="14"/>
                <w:szCs w:val="36"/>
                <w:lang w:val="es-MX"/>
              </w:rPr>
              <w:t>Media &amp; PR</w:t>
            </w:r>
          </w:p>
          <w:p w14:paraId="1DE77784" w14:textId="0A1172ED" w:rsidR="00B601A6" w:rsidRPr="00B601A6" w:rsidRDefault="00B601A6" w:rsidP="00B5384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1A1A1A"/>
                <w:sz w:val="14"/>
                <w:szCs w:val="36"/>
                <w:lang w:val="es-MX"/>
              </w:rPr>
            </w:pPr>
            <w:r w:rsidRPr="00B601A6">
              <w:rPr>
                <w:rFonts w:ascii="Calibri" w:hAnsi="Calibri" w:cs="Calibri"/>
                <w:color w:val="1A1A1A"/>
                <w:sz w:val="14"/>
                <w:szCs w:val="36"/>
                <w:lang w:val="es-MX"/>
              </w:rPr>
              <w:t>Tel. 56-6230-2485</w:t>
            </w:r>
          </w:p>
          <w:p w14:paraId="53E0C351" w14:textId="77777777" w:rsidR="00B601A6" w:rsidRPr="00B601A6" w:rsidRDefault="00992D8F">
            <w:pPr>
              <w:pStyle w:val="NormalWeb"/>
              <w:spacing w:after="0" w:afterAutospacing="0"/>
              <w:rPr>
                <w:rFonts w:ascii="Calibri" w:hAnsi="Calibri" w:cs="Calibri"/>
                <w:color w:val="1A1A1A"/>
                <w:sz w:val="14"/>
                <w:szCs w:val="36"/>
                <w:lang w:val="es-MX"/>
              </w:rPr>
            </w:pPr>
            <w:hyperlink r:id="rId9" w:history="1">
              <w:r w:rsidR="00B601A6" w:rsidRPr="00B601A6">
                <w:rPr>
                  <w:rStyle w:val="Hyperlink"/>
                  <w:rFonts w:ascii="Calibri" w:eastAsiaTheme="majorEastAsia" w:hAnsi="Calibri" w:cs="Calibri"/>
                  <w:b/>
                  <w:bCs/>
                  <w:sz w:val="14"/>
                  <w:szCs w:val="36"/>
                  <w:lang w:val="es-MX"/>
                </w:rPr>
                <w:t>daniela.medel@lge.com</w:t>
              </w:r>
            </w:hyperlink>
          </w:p>
        </w:tc>
        <w:tc>
          <w:tcPr>
            <w:tcW w:w="2693" w:type="dxa"/>
            <w:shd w:val="clear" w:color="auto" w:fill="FFFFFF"/>
            <w:hideMark/>
          </w:tcPr>
          <w:p w14:paraId="76AF2613" w14:textId="77777777" w:rsidR="00B601A6" w:rsidRDefault="00B601A6" w:rsidP="00B601A6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b/>
                <w:bCs/>
                <w:color w:val="1A1A1A"/>
                <w:sz w:val="14"/>
                <w:szCs w:val="36"/>
              </w:rPr>
            </w:pPr>
            <w:proofErr w:type="spellStart"/>
            <w:r w:rsidRPr="00B601A6">
              <w:rPr>
                <w:rFonts w:ascii="Calibri" w:hAnsi="Calibri" w:cs="Calibri"/>
                <w:b/>
                <w:bCs/>
                <w:color w:val="1A1A1A"/>
                <w:sz w:val="14"/>
                <w:szCs w:val="36"/>
              </w:rPr>
              <w:t>Burson</w:t>
            </w:r>
            <w:proofErr w:type="spellEnd"/>
            <w:r>
              <w:rPr>
                <w:rFonts w:ascii="Calibri" w:hAnsi="Calibri" w:cs="Calibri"/>
                <w:b/>
                <w:bCs/>
                <w:color w:val="1A1A1A"/>
                <w:sz w:val="14"/>
                <w:szCs w:val="36"/>
              </w:rPr>
              <w:t xml:space="preserve"> </w:t>
            </w:r>
          </w:p>
          <w:p w14:paraId="0544FA00" w14:textId="77777777" w:rsidR="00B601A6" w:rsidRDefault="00B601A6" w:rsidP="00B601A6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1A1A1A"/>
                <w:sz w:val="14"/>
                <w:szCs w:val="36"/>
              </w:rPr>
            </w:pPr>
            <w:r w:rsidRPr="00B601A6">
              <w:rPr>
                <w:rFonts w:ascii="Calibri" w:hAnsi="Calibri" w:cs="Calibri"/>
                <w:color w:val="1A1A1A"/>
                <w:sz w:val="14"/>
                <w:szCs w:val="36"/>
              </w:rPr>
              <w:t xml:space="preserve">Adriana </w:t>
            </w:r>
            <w:proofErr w:type="spellStart"/>
            <w:r w:rsidRPr="00B601A6">
              <w:rPr>
                <w:rFonts w:ascii="Calibri" w:hAnsi="Calibri" w:cs="Calibri"/>
                <w:color w:val="1A1A1A"/>
                <w:sz w:val="14"/>
                <w:szCs w:val="36"/>
              </w:rPr>
              <w:t>López</w:t>
            </w:r>
            <w:proofErr w:type="spellEnd"/>
          </w:p>
          <w:p w14:paraId="44069EB3" w14:textId="42377E6F" w:rsidR="00B601A6" w:rsidRPr="00B601A6" w:rsidRDefault="00B601A6" w:rsidP="00B601A6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1A1A1A"/>
                <w:sz w:val="14"/>
                <w:szCs w:val="36"/>
              </w:rPr>
            </w:pPr>
            <w:r w:rsidRPr="00B601A6">
              <w:rPr>
                <w:rFonts w:ascii="Calibri" w:hAnsi="Calibri" w:cs="Calibri"/>
                <w:color w:val="1A1A1A"/>
                <w:sz w:val="14"/>
                <w:szCs w:val="36"/>
              </w:rPr>
              <w:t>Sr. Account Executive</w:t>
            </w:r>
          </w:p>
          <w:p w14:paraId="4D0313EA" w14:textId="77777777" w:rsidR="00B601A6" w:rsidRPr="00B601A6" w:rsidRDefault="00992D8F">
            <w:pPr>
              <w:pStyle w:val="NormalWeb"/>
              <w:spacing w:after="0" w:afterAutospacing="0"/>
              <w:rPr>
                <w:rFonts w:ascii="Calibri" w:hAnsi="Calibri" w:cs="Calibri"/>
                <w:color w:val="1A1A1A"/>
                <w:sz w:val="14"/>
                <w:szCs w:val="36"/>
              </w:rPr>
            </w:pPr>
            <w:hyperlink r:id="rId10" w:history="1">
              <w:r w:rsidR="00B601A6" w:rsidRPr="00B601A6">
                <w:rPr>
                  <w:rStyle w:val="Hyperlink"/>
                  <w:rFonts w:ascii="Calibri" w:eastAsiaTheme="majorEastAsia" w:hAnsi="Calibri" w:cs="Calibri"/>
                  <w:b/>
                  <w:bCs/>
                  <w:sz w:val="14"/>
                  <w:szCs w:val="36"/>
                </w:rPr>
                <w:t>adriana.ramirez@bcw-global.com</w:t>
              </w:r>
            </w:hyperlink>
          </w:p>
        </w:tc>
        <w:tc>
          <w:tcPr>
            <w:tcW w:w="3960" w:type="dxa"/>
            <w:shd w:val="clear" w:color="auto" w:fill="FFFFFF"/>
            <w:hideMark/>
          </w:tcPr>
          <w:p w14:paraId="0AF72299" w14:textId="77777777" w:rsidR="00B601A6" w:rsidRDefault="00B601A6" w:rsidP="00B601A6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b/>
                <w:bCs/>
                <w:color w:val="1A1A1A"/>
                <w:sz w:val="14"/>
                <w:szCs w:val="36"/>
              </w:rPr>
            </w:pPr>
            <w:proofErr w:type="spellStart"/>
            <w:r w:rsidRPr="00B601A6">
              <w:rPr>
                <w:rFonts w:ascii="Calibri" w:hAnsi="Calibri" w:cs="Calibri"/>
                <w:b/>
                <w:bCs/>
                <w:color w:val="1A1A1A"/>
                <w:sz w:val="14"/>
                <w:szCs w:val="36"/>
              </w:rPr>
              <w:t>Burson</w:t>
            </w:r>
            <w:proofErr w:type="spellEnd"/>
          </w:p>
          <w:p w14:paraId="4B2289F1" w14:textId="77777777" w:rsidR="00B601A6" w:rsidRDefault="00B601A6" w:rsidP="00B601A6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1A1A1A"/>
                <w:sz w:val="14"/>
                <w:szCs w:val="36"/>
              </w:rPr>
            </w:pPr>
            <w:r w:rsidRPr="00B601A6">
              <w:rPr>
                <w:rFonts w:ascii="Calibri" w:hAnsi="Calibri" w:cs="Calibri"/>
                <w:color w:val="1A1A1A"/>
                <w:sz w:val="14"/>
                <w:szCs w:val="36"/>
              </w:rPr>
              <w:t>José M. Saavedra               </w:t>
            </w:r>
          </w:p>
          <w:p w14:paraId="61206CC6" w14:textId="0712B3ED" w:rsidR="00B601A6" w:rsidRPr="00B601A6" w:rsidRDefault="00B601A6" w:rsidP="00B601A6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1A1A1A"/>
                <w:sz w:val="14"/>
                <w:szCs w:val="36"/>
              </w:rPr>
            </w:pPr>
            <w:r w:rsidRPr="00B601A6">
              <w:rPr>
                <w:rFonts w:ascii="Calibri" w:hAnsi="Calibri" w:cs="Calibri"/>
                <w:color w:val="1A1A1A"/>
                <w:sz w:val="14"/>
                <w:szCs w:val="36"/>
              </w:rPr>
              <w:t>Account Executive    </w:t>
            </w:r>
          </w:p>
          <w:p w14:paraId="33F9CF1B" w14:textId="77777777" w:rsidR="00B601A6" w:rsidRPr="00B601A6" w:rsidRDefault="00992D8F">
            <w:pPr>
              <w:pStyle w:val="NormalWeb"/>
              <w:spacing w:after="0" w:afterAutospacing="0"/>
              <w:rPr>
                <w:rFonts w:ascii="Calibri" w:hAnsi="Calibri" w:cs="Calibri"/>
                <w:color w:val="1A1A1A"/>
                <w:sz w:val="14"/>
                <w:szCs w:val="36"/>
              </w:rPr>
            </w:pPr>
            <w:hyperlink r:id="rId11" w:history="1">
              <w:r w:rsidR="00B601A6" w:rsidRPr="00B601A6">
                <w:rPr>
                  <w:rStyle w:val="Hyperlink"/>
                  <w:rFonts w:ascii="Calibri" w:eastAsiaTheme="majorEastAsia" w:hAnsi="Calibri" w:cs="Calibri"/>
                  <w:b/>
                  <w:bCs/>
                  <w:sz w:val="14"/>
                  <w:szCs w:val="36"/>
                </w:rPr>
                <w:t>jose.saavedra@bcw-global.com</w:t>
              </w:r>
            </w:hyperlink>
          </w:p>
        </w:tc>
      </w:tr>
    </w:tbl>
    <w:p w14:paraId="22081E52" w14:textId="38549D11" w:rsidR="00B601A6" w:rsidRPr="00B601A6" w:rsidRDefault="00B601A6" w:rsidP="00B601A6">
      <w:pPr>
        <w:spacing w:after="0" w:line="240" w:lineRule="auto"/>
        <w:rPr>
          <w:sz w:val="4"/>
          <w:lang w:val="en-US"/>
        </w:rPr>
      </w:pPr>
    </w:p>
    <w:sectPr w:rsidR="00B601A6" w:rsidRPr="00B601A6">
      <w:head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7A6727" w14:textId="77777777" w:rsidR="00D52477" w:rsidRDefault="00D52477" w:rsidP="00741788">
      <w:pPr>
        <w:spacing w:after="0" w:line="240" w:lineRule="auto"/>
      </w:pPr>
      <w:r>
        <w:separator/>
      </w:r>
    </w:p>
  </w:endnote>
  <w:endnote w:type="continuationSeparator" w:id="0">
    <w:p w14:paraId="47480280" w14:textId="77777777" w:rsidR="00D52477" w:rsidRDefault="00D52477" w:rsidP="00741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Times New Roman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FD5D4E" w14:textId="77777777" w:rsidR="00D52477" w:rsidRDefault="00D52477" w:rsidP="00741788">
      <w:pPr>
        <w:spacing w:after="0" w:line="240" w:lineRule="auto"/>
      </w:pPr>
      <w:r>
        <w:separator/>
      </w:r>
    </w:p>
  </w:footnote>
  <w:footnote w:type="continuationSeparator" w:id="0">
    <w:p w14:paraId="7C0EDC35" w14:textId="77777777" w:rsidR="00D52477" w:rsidRDefault="00D52477" w:rsidP="00741788">
      <w:pPr>
        <w:spacing w:after="0" w:line="240" w:lineRule="auto"/>
      </w:pPr>
      <w:r>
        <w:continuationSeparator/>
      </w:r>
    </w:p>
  </w:footnote>
  <w:footnote w:id="1">
    <w:p w14:paraId="3A5DA1B1" w14:textId="77777777" w:rsidR="00331EEF" w:rsidRDefault="00331EEF" w:rsidP="00331EEF">
      <w:pPr>
        <w:pStyle w:val="FootnoteText"/>
        <w:jc w:val="left"/>
      </w:pPr>
      <w:r>
        <w:rPr>
          <w:rStyle w:val="FootnoteReference"/>
        </w:rPr>
        <w:footnoteRef/>
      </w:r>
      <w:r>
        <w:t xml:space="preserve"> </w:t>
      </w:r>
      <w:r w:rsidRPr="00997CE1">
        <w:t xml:space="preserve">Comisión Federal de Electricidad. (2020). </w:t>
      </w:r>
      <w:r w:rsidRPr="003F1C57">
        <w:rPr>
          <w:i/>
          <w:iCs/>
        </w:rPr>
        <w:t>Recomendaciones para el ahorro de energía en los hogares durante la emergencia sanitaria COVID-19</w:t>
      </w:r>
      <w:r w:rsidRPr="00997CE1">
        <w:t xml:space="preserve">. En cfe.mx. Recuperado 10 de abril de 2025, de </w:t>
      </w:r>
      <w:hyperlink r:id="rId1" w:history="1">
        <w:r w:rsidRPr="00B2548B">
          <w:rPr>
            <w:rStyle w:val="Hyperlink"/>
          </w:rPr>
          <w:t>https://www.cfe.mx/Documents/recomendaciones-CFE-COVID-19.pdf</w:t>
        </w:r>
      </w:hyperlink>
      <w:r>
        <w:t xml:space="preserve"> </w:t>
      </w:r>
    </w:p>
  </w:footnote>
  <w:footnote w:id="2">
    <w:p w14:paraId="04435B6B" w14:textId="77777777" w:rsidR="00346DF4" w:rsidRDefault="00346DF4" w:rsidP="00346DF4">
      <w:pPr>
        <w:pStyle w:val="FootnoteText"/>
        <w:jc w:val="left"/>
      </w:pPr>
      <w:r>
        <w:rPr>
          <w:rStyle w:val="FootnoteReference"/>
        </w:rPr>
        <w:footnoteRef/>
      </w:r>
      <w:r>
        <w:t xml:space="preserve"> </w:t>
      </w:r>
      <w:r w:rsidRPr="003F1C57">
        <w:t xml:space="preserve">Comisión Federal de Electricidad. (2024, 26 abril). </w:t>
      </w:r>
      <w:r w:rsidRPr="003F1C57">
        <w:rPr>
          <w:i/>
          <w:iCs/>
        </w:rPr>
        <w:t>En 2023, la CFE logra ingresos totales por 639,844 MDP, el monto más alto de su historia.</w:t>
      </w:r>
      <w:r w:rsidRPr="003F1C57">
        <w:t xml:space="preserve"> Recuperado 10 de abril de 2025, de </w:t>
      </w:r>
      <w:hyperlink r:id="rId2" w:history="1">
        <w:r w:rsidRPr="00B2548B">
          <w:rPr>
            <w:rStyle w:val="Hyperlink"/>
          </w:rPr>
          <w:t>https://app.cfe.mx/Aplicaciones/OTROS/Boletines/boletin?i=6065</w:t>
        </w:r>
      </w:hyperlink>
      <w:r>
        <w:t xml:space="preserve"> </w:t>
      </w:r>
    </w:p>
  </w:footnote>
  <w:footnote w:id="3">
    <w:p w14:paraId="0F99568B" w14:textId="4E16ABC7" w:rsidR="00783604" w:rsidRPr="00783604" w:rsidRDefault="00783604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0B0AFF">
        <w:rPr>
          <w:lang w:val="en-US"/>
        </w:rPr>
        <w:t xml:space="preserve"> Appliances and Electronics. (s. f.). Energy.gov. </w:t>
      </w:r>
      <w:r w:rsidR="00992D8F">
        <w:fldChar w:fldCharType="begin"/>
      </w:r>
      <w:r w:rsidR="00992D8F" w:rsidRPr="00992D8F">
        <w:rPr>
          <w:lang w:val="en-US"/>
        </w:rPr>
        <w:instrText xml:space="preserve"> HYPERLINK "https://www.energy.gov/energysaver/appliances-and-electronics" </w:instrText>
      </w:r>
      <w:r w:rsidR="00992D8F">
        <w:fldChar w:fldCharType="separate"/>
      </w:r>
      <w:r w:rsidRPr="00B2548B">
        <w:rPr>
          <w:rStyle w:val="Hyperlink"/>
          <w:lang w:val="en-US"/>
        </w:rPr>
        <w:t>https://www.energy.gov/energysaver/appliances-and-electronics</w:t>
      </w:r>
      <w:r w:rsidR="00992D8F">
        <w:rPr>
          <w:rStyle w:val="Hyperlink"/>
          <w:lang w:val="en-US"/>
        </w:rPr>
        <w:fldChar w:fldCharType="end"/>
      </w:r>
      <w:r>
        <w:rPr>
          <w:lang w:val="en-US"/>
        </w:rPr>
        <w:t xml:space="preserve"> </w:t>
      </w:r>
    </w:p>
  </w:footnote>
  <w:footnote w:id="4">
    <w:p w14:paraId="5DA09A8A" w14:textId="5DC73FAB" w:rsidR="00B71995" w:rsidRDefault="00B71995">
      <w:pPr>
        <w:pStyle w:val="FootnoteText"/>
      </w:pPr>
      <w:r>
        <w:rPr>
          <w:rStyle w:val="FootnoteReference"/>
        </w:rPr>
        <w:footnoteRef/>
      </w:r>
      <w:r w:rsidRPr="00B71995">
        <w:rPr>
          <w:lang w:val="en-US"/>
        </w:rPr>
        <w:t xml:space="preserve"> Appliances &amp; equipment - IEA. </w:t>
      </w:r>
      <w:r w:rsidRPr="000B0AFF">
        <w:rPr>
          <w:lang w:val="en-US"/>
        </w:rPr>
        <w:t xml:space="preserve">(s. f.). </w:t>
      </w:r>
      <w:r w:rsidRPr="00B71995">
        <w:t xml:space="preserve">IEA. </w:t>
      </w:r>
      <w:hyperlink r:id="rId3" w:history="1">
        <w:r w:rsidRPr="00B2548B">
          <w:rPr>
            <w:rStyle w:val="Hyperlink"/>
          </w:rPr>
          <w:t>https://www.iea.org/energy-system/buildings/appliances-and-equipment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50"/>
      <w:gridCol w:w="2925"/>
      <w:gridCol w:w="2963"/>
    </w:tblGrid>
    <w:tr w:rsidR="00741788" w:rsidRPr="00586A8E" w14:paraId="25EBEE46" w14:textId="77777777" w:rsidTr="009F5527">
      <w:trPr>
        <w:trHeight w:val="300"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p w14:paraId="3BA9BAC0" w14:textId="77777777" w:rsidR="00741788" w:rsidRPr="00586A8E" w:rsidRDefault="00741788" w:rsidP="00741788">
          <w:pPr>
            <w:spacing w:after="0" w:line="240" w:lineRule="auto"/>
            <w:ind w:left="-120"/>
            <w:textAlignment w:val="baseline"/>
            <w:rPr>
              <w:rFonts w:ascii="Segoe UI" w:eastAsia="Times New Roman" w:hAnsi="Segoe UI" w:cs="Segoe UI"/>
              <w:kern w:val="0"/>
              <w:sz w:val="18"/>
              <w:szCs w:val="18"/>
              <w14:ligatures w14:val="none"/>
            </w:rPr>
          </w:pPr>
          <w:r w:rsidRPr="00586A8E">
            <w:rPr>
              <w:rFonts w:ascii="Aptos" w:eastAsia="Times New Roman" w:hAnsi="Aptos" w:cs="Segoe UI"/>
              <w:kern w:val="0"/>
              <w14:ligatures w14:val="none"/>
            </w:rPr>
            <w:t> </w:t>
          </w:r>
          <w:r w:rsidRPr="00586A8E">
            <w:rPr>
              <w:rFonts w:ascii="Segoe UI" w:eastAsia="Times New Roman" w:hAnsi="Segoe UI" w:cs="Segoe UI"/>
              <w:noProof/>
              <w:kern w:val="0"/>
              <w:sz w:val="18"/>
              <w:szCs w:val="18"/>
              <w:lang w:val="en-US" w:eastAsia="ko-KR"/>
              <w14:ligatures w14:val="none"/>
            </w:rPr>
            <w:drawing>
              <wp:inline distT="0" distB="0" distL="0" distR="0" wp14:anchorId="6BB5782F" wp14:editId="2BD08515">
                <wp:extent cx="683185" cy="374650"/>
                <wp:effectExtent l="0" t="0" r="0" b="0"/>
                <wp:docPr id="9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2336" cy="3796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p w14:paraId="796E327C" w14:textId="77777777" w:rsidR="00741788" w:rsidRPr="00586A8E" w:rsidRDefault="00741788" w:rsidP="00741788">
          <w:pPr>
            <w:spacing w:after="0" w:line="240" w:lineRule="auto"/>
            <w:jc w:val="center"/>
            <w:textAlignment w:val="baseline"/>
            <w:rPr>
              <w:rFonts w:ascii="Segoe UI" w:eastAsia="Times New Roman" w:hAnsi="Segoe UI" w:cs="Segoe UI"/>
              <w:kern w:val="0"/>
              <w:sz w:val="18"/>
              <w:szCs w:val="18"/>
              <w14:ligatures w14:val="none"/>
            </w:rPr>
          </w:pPr>
          <w:r w:rsidRPr="00586A8E">
            <w:rPr>
              <w:rFonts w:ascii="Aptos" w:eastAsia="Times New Roman" w:hAnsi="Aptos" w:cs="Segoe UI"/>
              <w:kern w:val="0"/>
              <w14:ligatures w14:val="none"/>
            </w:rPr>
            <w:t> 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p w14:paraId="1393BDFA" w14:textId="77777777" w:rsidR="00741788" w:rsidRPr="00586A8E" w:rsidRDefault="00741788" w:rsidP="00741788">
          <w:pPr>
            <w:spacing w:after="0" w:line="240" w:lineRule="auto"/>
            <w:ind w:right="-120"/>
            <w:jc w:val="right"/>
            <w:textAlignment w:val="baseline"/>
            <w:rPr>
              <w:rFonts w:ascii="Segoe UI" w:eastAsia="Times New Roman" w:hAnsi="Segoe UI" w:cs="Segoe UI"/>
              <w:kern w:val="0"/>
              <w:sz w:val="18"/>
              <w:szCs w:val="18"/>
              <w14:ligatures w14:val="none"/>
            </w:rPr>
          </w:pPr>
          <w:r w:rsidRPr="00586A8E">
            <w:rPr>
              <w:rFonts w:ascii="Segoe UI" w:eastAsia="Times New Roman" w:hAnsi="Segoe UI" w:cs="Segoe UI"/>
              <w:noProof/>
              <w:kern w:val="0"/>
              <w:sz w:val="18"/>
              <w:szCs w:val="18"/>
              <w:lang w:val="en-US" w:eastAsia="ko-KR"/>
              <w14:ligatures w14:val="none"/>
            </w:rPr>
            <w:drawing>
              <wp:inline distT="0" distB="0" distL="0" distR="0" wp14:anchorId="798E4094" wp14:editId="615078AE">
                <wp:extent cx="942931" cy="162031"/>
                <wp:effectExtent l="0" t="0" r="0" b="9525"/>
                <wp:docPr id="10" name="Imagen 1" descr="Logotipo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Imagen 1" descr="Logotipo&#10;&#10;Descripción generada automá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5058" cy="174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586A8E">
            <w:rPr>
              <w:rFonts w:ascii="Aptos" w:eastAsia="Times New Roman" w:hAnsi="Aptos" w:cs="Segoe UI"/>
              <w:kern w:val="0"/>
              <w14:ligatures w14:val="none"/>
            </w:rPr>
            <w:t> </w:t>
          </w:r>
        </w:p>
      </w:tc>
    </w:tr>
  </w:tbl>
  <w:p w14:paraId="520133A1" w14:textId="77777777" w:rsidR="00741788" w:rsidRDefault="0074178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788"/>
    <w:rsid w:val="0002029C"/>
    <w:rsid w:val="00070B51"/>
    <w:rsid w:val="00094603"/>
    <w:rsid w:val="000B0AFF"/>
    <w:rsid w:val="000C0F83"/>
    <w:rsid w:val="00137DB1"/>
    <w:rsid w:val="00170266"/>
    <w:rsid w:val="001A29C2"/>
    <w:rsid w:val="001B7BED"/>
    <w:rsid w:val="001F4936"/>
    <w:rsid w:val="00242AF9"/>
    <w:rsid w:val="00274D79"/>
    <w:rsid w:val="002C24B1"/>
    <w:rsid w:val="002C6A50"/>
    <w:rsid w:val="00331EEF"/>
    <w:rsid w:val="00344AA2"/>
    <w:rsid w:val="00346DF4"/>
    <w:rsid w:val="00392062"/>
    <w:rsid w:val="003A5FA1"/>
    <w:rsid w:val="003F1C57"/>
    <w:rsid w:val="00435C56"/>
    <w:rsid w:val="00490214"/>
    <w:rsid w:val="004A582A"/>
    <w:rsid w:val="004A76DC"/>
    <w:rsid w:val="00531605"/>
    <w:rsid w:val="005528A4"/>
    <w:rsid w:val="005930A5"/>
    <w:rsid w:val="005C2F72"/>
    <w:rsid w:val="005D2007"/>
    <w:rsid w:val="005D517F"/>
    <w:rsid w:val="005F15CF"/>
    <w:rsid w:val="00613D7E"/>
    <w:rsid w:val="00660416"/>
    <w:rsid w:val="0068769B"/>
    <w:rsid w:val="00691AEA"/>
    <w:rsid w:val="00696643"/>
    <w:rsid w:val="006A354C"/>
    <w:rsid w:val="00741788"/>
    <w:rsid w:val="00783604"/>
    <w:rsid w:val="00785451"/>
    <w:rsid w:val="00787EB8"/>
    <w:rsid w:val="007A35EA"/>
    <w:rsid w:val="007F7289"/>
    <w:rsid w:val="00856549"/>
    <w:rsid w:val="008A7467"/>
    <w:rsid w:val="00900144"/>
    <w:rsid w:val="009754B5"/>
    <w:rsid w:val="00992D8F"/>
    <w:rsid w:val="00997CE1"/>
    <w:rsid w:val="00A123EC"/>
    <w:rsid w:val="00AB25FA"/>
    <w:rsid w:val="00AB2E69"/>
    <w:rsid w:val="00AD737C"/>
    <w:rsid w:val="00B27FEF"/>
    <w:rsid w:val="00B5384F"/>
    <w:rsid w:val="00B601A6"/>
    <w:rsid w:val="00B71995"/>
    <w:rsid w:val="00B9446C"/>
    <w:rsid w:val="00C11111"/>
    <w:rsid w:val="00C27C3A"/>
    <w:rsid w:val="00C54A9B"/>
    <w:rsid w:val="00C83DDB"/>
    <w:rsid w:val="00CD37E8"/>
    <w:rsid w:val="00CE15DD"/>
    <w:rsid w:val="00D038BA"/>
    <w:rsid w:val="00D35A01"/>
    <w:rsid w:val="00D52477"/>
    <w:rsid w:val="00D777D9"/>
    <w:rsid w:val="00D91FE4"/>
    <w:rsid w:val="00DA43AC"/>
    <w:rsid w:val="00DD4AD0"/>
    <w:rsid w:val="00E27646"/>
    <w:rsid w:val="00E80A6C"/>
    <w:rsid w:val="00E94C94"/>
    <w:rsid w:val="00EE20CE"/>
    <w:rsid w:val="00EE3396"/>
    <w:rsid w:val="00EF2AED"/>
    <w:rsid w:val="00F3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563125"/>
  <w15:chartTrackingRefBased/>
  <w15:docId w15:val="{0C935C89-7AF8-4B3F-ADE2-A03FBFBB7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FEF"/>
    <w:pPr>
      <w:jc w:val="both"/>
    </w:pPr>
    <w:rPr>
      <w:rFonts w:ascii="Calibri" w:hAnsi="Calibri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17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17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178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178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178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1788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1788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1788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1788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7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17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17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1788"/>
    <w:rPr>
      <w:rFonts w:eastAsiaTheme="majorEastAsia" w:cstheme="majorBidi"/>
      <w:i/>
      <w:iCs/>
      <w:color w:val="0F4761" w:themeColor="accent1" w:themeShade="BF"/>
      <w:sz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1788"/>
    <w:rPr>
      <w:rFonts w:eastAsiaTheme="majorEastAsia" w:cstheme="majorBidi"/>
      <w:color w:val="0F4761" w:themeColor="accent1" w:themeShade="BF"/>
      <w:sz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1788"/>
    <w:rPr>
      <w:rFonts w:eastAsiaTheme="majorEastAsia" w:cstheme="majorBidi"/>
      <w:i/>
      <w:iCs/>
      <w:color w:val="595959" w:themeColor="text1" w:themeTint="A6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1788"/>
    <w:rPr>
      <w:rFonts w:eastAsiaTheme="majorEastAsia" w:cstheme="majorBidi"/>
      <w:color w:val="595959" w:themeColor="text1" w:themeTint="A6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1788"/>
    <w:rPr>
      <w:rFonts w:eastAsiaTheme="majorEastAsia" w:cstheme="majorBidi"/>
      <w:i/>
      <w:iCs/>
      <w:color w:val="272727" w:themeColor="text1" w:themeTint="D8"/>
      <w:sz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1788"/>
    <w:rPr>
      <w:rFonts w:eastAsiaTheme="majorEastAsia" w:cstheme="majorBidi"/>
      <w:color w:val="272727" w:themeColor="text1" w:themeTint="D8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7417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17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1788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417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417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41788"/>
    <w:rPr>
      <w:rFonts w:ascii="Calibri" w:hAnsi="Calibri"/>
      <w:i/>
      <w:iCs/>
      <w:color w:val="404040" w:themeColor="text1" w:themeTint="BF"/>
      <w:sz w:val="22"/>
    </w:rPr>
  </w:style>
  <w:style w:type="paragraph" w:styleId="ListParagraph">
    <w:name w:val="List Paragraph"/>
    <w:basedOn w:val="Normal"/>
    <w:uiPriority w:val="34"/>
    <w:qFormat/>
    <w:rsid w:val="0074178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4178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17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1788"/>
    <w:rPr>
      <w:rFonts w:ascii="Calibri" w:hAnsi="Calibri"/>
      <w:i/>
      <w:iCs/>
      <w:color w:val="0F4761" w:themeColor="accent1" w:themeShade="BF"/>
      <w:sz w:val="22"/>
    </w:rPr>
  </w:style>
  <w:style w:type="character" w:styleId="IntenseReference">
    <w:name w:val="Intense Reference"/>
    <w:basedOn w:val="DefaultParagraphFont"/>
    <w:uiPriority w:val="32"/>
    <w:qFormat/>
    <w:rsid w:val="0074178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4178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1788"/>
    <w:rPr>
      <w:rFonts w:ascii="Calibri" w:hAnsi="Calibri"/>
      <w:sz w:val="22"/>
    </w:rPr>
  </w:style>
  <w:style w:type="paragraph" w:styleId="Footer">
    <w:name w:val="footer"/>
    <w:basedOn w:val="Normal"/>
    <w:link w:val="FooterChar"/>
    <w:uiPriority w:val="99"/>
    <w:unhideWhenUsed/>
    <w:rsid w:val="0074178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1788"/>
    <w:rPr>
      <w:rFonts w:ascii="Calibri" w:hAnsi="Calibri"/>
      <w:sz w:val="22"/>
    </w:rPr>
  </w:style>
  <w:style w:type="character" w:styleId="Hyperlink">
    <w:name w:val="Hyperlink"/>
    <w:basedOn w:val="DefaultParagraphFont"/>
    <w:uiPriority w:val="99"/>
    <w:unhideWhenUsed/>
    <w:rsid w:val="001B7BED"/>
    <w:rPr>
      <w:color w:val="467886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B7BE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A35EA"/>
    <w:rPr>
      <w:color w:val="96607D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7CE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7CE1"/>
    <w:rPr>
      <w:rFonts w:ascii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7CE1"/>
    <w:rPr>
      <w:vertAlign w:val="superscript"/>
    </w:rPr>
  </w:style>
  <w:style w:type="paragraph" w:styleId="Revision">
    <w:name w:val="Revision"/>
    <w:hidden/>
    <w:uiPriority w:val="99"/>
    <w:semiHidden/>
    <w:rsid w:val="00274D79"/>
    <w:pPr>
      <w:spacing w:after="0" w:line="240" w:lineRule="auto"/>
    </w:pPr>
    <w:rPr>
      <w:rFonts w:ascii="Calibri" w:hAnsi="Calibri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74D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74D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74D79"/>
    <w:rPr>
      <w:rFonts w:ascii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4D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4D79"/>
    <w:rPr>
      <w:rFonts w:ascii="Calibri" w:hAnsi="Calibri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601A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lang w:val="en-US" w:eastAsia="ko-K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8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iel.aguilar@lge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lg.com/mx/acerca-de-lg/press-and-media/oled-evo-ces25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jose.saavedra@bcw-global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adriana.ramirez@bcw-globa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aniela.medel@lge.com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iea.org/energy-system/buildings/appliances-and-equipment" TargetMode="External"/><Relationship Id="rId2" Type="http://schemas.openxmlformats.org/officeDocument/2006/relationships/hyperlink" Target="https://app.cfe.mx/Aplicaciones/OTROS/Boletines/boletin?i=6065" TargetMode="External"/><Relationship Id="rId1" Type="http://schemas.openxmlformats.org/officeDocument/2006/relationships/hyperlink" Target="https://www.cfe.mx/Documents/recomendaciones-CFE-COVID-19.pdf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8790A-9201-47FC-8C0E-69C6DCF28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795</Words>
  <Characters>4847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Ángel Velazquez</dc:creator>
  <cp:keywords/>
  <dc:description/>
  <cp:lastModifiedBy>DANIELA CAROLINA MEDEL/LGEMS CORPORATE COMMUNICATION</cp:lastModifiedBy>
  <cp:revision>3</cp:revision>
  <dcterms:created xsi:type="dcterms:W3CDTF">2025-04-16T23:41:00Z</dcterms:created>
  <dcterms:modified xsi:type="dcterms:W3CDTF">2025-04-17T00:01:00Z</dcterms:modified>
</cp:coreProperties>
</file>