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73" w:rsidRDefault="00300773">
      <w:pPr>
        <w:pBdr>
          <w:top w:val="nil"/>
          <w:left w:val="nil"/>
          <w:bottom w:val="nil"/>
          <w:right w:val="nil"/>
          <w:between w:val="nil"/>
        </w:pBdr>
        <w:spacing w:line="276" w:lineRule="auto"/>
        <w:rPr>
          <w:b/>
          <w:sz w:val="28"/>
          <w:szCs w:val="28"/>
        </w:rPr>
      </w:pPr>
      <w:bookmarkStart w:id="0" w:name="_GoBack"/>
      <w:bookmarkEnd w:id="0"/>
    </w:p>
    <w:p w:rsidR="00300773" w:rsidRDefault="00C653B0">
      <w:pPr>
        <w:pBdr>
          <w:top w:val="nil"/>
          <w:left w:val="nil"/>
          <w:bottom w:val="nil"/>
          <w:right w:val="nil"/>
          <w:between w:val="nil"/>
        </w:pBdr>
        <w:spacing w:line="276" w:lineRule="auto"/>
        <w:rPr>
          <w:b/>
          <w:sz w:val="28"/>
          <w:szCs w:val="28"/>
        </w:rPr>
      </w:pPr>
      <w:r>
        <w:t xml:space="preserve">    </w:t>
      </w:r>
    </w:p>
    <w:p w:rsidR="00300773" w:rsidRDefault="00C653B0">
      <w:pPr>
        <w:jc w:val="center"/>
        <w:rPr>
          <w:b/>
          <w:sz w:val="28"/>
          <w:szCs w:val="28"/>
        </w:rPr>
      </w:pPr>
      <w:r>
        <w:rPr>
          <w:b/>
          <w:sz w:val="28"/>
          <w:szCs w:val="28"/>
        </w:rPr>
        <w:t>LG TO SHOWCASE COMPLETE LINE OF HIGH-ENGAGEMENT LEARNING SOLUTIONS AT FETC 2025</w:t>
      </w:r>
    </w:p>
    <w:p w:rsidR="00300773" w:rsidRDefault="00300773">
      <w:pPr>
        <w:jc w:val="center"/>
        <w:rPr>
          <w:b/>
          <w:sz w:val="28"/>
          <w:szCs w:val="28"/>
        </w:rPr>
      </w:pPr>
    </w:p>
    <w:p w:rsidR="00300773" w:rsidRDefault="00C653B0">
      <w:pPr>
        <w:pBdr>
          <w:top w:val="nil"/>
          <w:left w:val="nil"/>
          <w:bottom w:val="nil"/>
          <w:right w:val="nil"/>
          <w:between w:val="nil"/>
        </w:pBdr>
        <w:jc w:val="center"/>
        <w:rPr>
          <w:i/>
        </w:rPr>
      </w:pPr>
      <w:r>
        <w:rPr>
          <w:i/>
          <w:highlight w:val="white"/>
        </w:rPr>
        <w:t>LG FETC Booth Features</w:t>
      </w:r>
      <w:r>
        <w:rPr>
          <w:i/>
        </w:rPr>
        <w:t xml:space="preserve"> New </w:t>
      </w:r>
      <w:proofErr w:type="spellStart"/>
      <w:r>
        <w:rPr>
          <w:i/>
        </w:rPr>
        <w:t>CreateBoard</w:t>
      </w:r>
      <w:proofErr w:type="spellEnd"/>
      <w:r>
        <w:rPr>
          <w:i/>
        </w:rPr>
        <w:t xml:space="preserve"> Pro Series, All-in-One</w:t>
      </w:r>
    </w:p>
    <w:p w:rsidR="00300773" w:rsidRDefault="00C653B0">
      <w:pPr>
        <w:pBdr>
          <w:top w:val="nil"/>
          <w:left w:val="nil"/>
          <w:bottom w:val="nil"/>
          <w:right w:val="nil"/>
          <w:between w:val="nil"/>
        </w:pBdr>
        <w:jc w:val="center"/>
        <w:rPr>
          <w:i/>
          <w:highlight w:val="white"/>
        </w:rPr>
      </w:pPr>
      <w:r>
        <w:rPr>
          <w:i/>
        </w:rPr>
        <w:t>Direct-View LED and Digital Signage Displays, LG gram Laptops and More</w:t>
      </w:r>
    </w:p>
    <w:p w:rsidR="00300773" w:rsidRDefault="00300773">
      <w:pPr>
        <w:pBdr>
          <w:top w:val="nil"/>
          <w:left w:val="nil"/>
          <w:bottom w:val="nil"/>
          <w:right w:val="nil"/>
          <w:between w:val="nil"/>
        </w:pBdr>
        <w:jc w:val="center"/>
        <w:rPr>
          <w:i/>
          <w:highlight w:val="white"/>
        </w:rPr>
      </w:pPr>
    </w:p>
    <w:p w:rsidR="00300773" w:rsidRDefault="00C653B0">
      <w:pPr>
        <w:spacing w:line="276" w:lineRule="auto"/>
        <w:jc w:val="both"/>
      </w:pPr>
      <w:r>
        <w:rPr>
          <w:b/>
        </w:rPr>
        <w:t xml:space="preserve">ORLANDO, Fla., Jan. 15, 2025 </w:t>
      </w:r>
      <w:r>
        <w:t>– Education technology leader LG Electronics USA is reinforcing its commitment to help K-12 schools and teachers create, manage and share at the 2025 Futur</w:t>
      </w:r>
      <w:r>
        <w:t xml:space="preserve">e of Education Technology Conference (FETC) by exhibiting a full range of </w:t>
      </w:r>
      <w:proofErr w:type="spellStart"/>
      <w:r>
        <w:t>EdTech</w:t>
      </w:r>
      <w:proofErr w:type="spellEnd"/>
      <w:r>
        <w:t xml:space="preserve"> s</w:t>
      </w:r>
      <w:r>
        <w:rPr>
          <w:highlight w:val="white"/>
        </w:rPr>
        <w:t xml:space="preserve">olutions for Google-centric classrooms </w:t>
      </w:r>
      <w:r>
        <w:t xml:space="preserve">at Booth #983 in the Orange County Convention Center in Orlando, Fla. from Jan. 15-17. </w:t>
      </w:r>
    </w:p>
    <w:p w:rsidR="00300773" w:rsidRDefault="00300773">
      <w:pPr>
        <w:spacing w:line="276" w:lineRule="auto"/>
        <w:jc w:val="both"/>
      </w:pPr>
    </w:p>
    <w:p w:rsidR="00300773" w:rsidRDefault="00C653B0">
      <w:pPr>
        <w:spacing w:line="276" w:lineRule="auto"/>
        <w:jc w:val="both"/>
      </w:pPr>
      <w:r>
        <w:t>“LG education commercial display and IT soluti</w:t>
      </w:r>
      <w:r>
        <w:t>ons are designed to bring lessons to life for teachers and students by providing tools that enable engaging content creation and seamless collaboration, while helping maximize the utility of the Google leading cloud education platform,” said LG Electronics</w:t>
      </w:r>
      <w:r>
        <w:t xml:space="preserve"> USA’s Education Director Victoria </w:t>
      </w:r>
      <w:proofErr w:type="spellStart"/>
      <w:r>
        <w:t>Sanville</w:t>
      </w:r>
      <w:proofErr w:type="spellEnd"/>
      <w:r>
        <w:t xml:space="preserve">. “The new LG </w:t>
      </w:r>
      <w:proofErr w:type="spellStart"/>
      <w:r>
        <w:t>CreateBoard</w:t>
      </w:r>
      <w:proofErr w:type="spellEnd"/>
      <w:r>
        <w:t xml:space="preserve"> Pro™ Interactive Digital Board takes this a step further with new tools like AI and built-in lesson planning software.”</w:t>
      </w:r>
    </w:p>
    <w:p w:rsidR="00300773" w:rsidRDefault="00C653B0">
      <w:pPr>
        <w:spacing w:line="276" w:lineRule="auto"/>
        <w:jc w:val="both"/>
      </w:pPr>
      <w:r>
        <w:br/>
        <w:t xml:space="preserve">Leading the way for LG at this year’s show is the introduction of </w:t>
      </w:r>
      <w:r>
        <w:t xml:space="preserve">its new Google-compatible </w:t>
      </w:r>
      <w:proofErr w:type="spellStart"/>
      <w:r>
        <w:t>CreateBoard</w:t>
      </w:r>
      <w:proofErr w:type="spellEnd"/>
      <w:r>
        <w:t xml:space="preserve"> Pro TR3PN Series of interactive digital displays that are available to schools in 86-, 75-, and 65-inch screen sizes to meet virtually every application need. The new series includes built-in Android™ 13 software and t</w:t>
      </w:r>
      <w:r>
        <w:t xml:space="preserve">he LG software suite, and boast a native resolution of 3,840-by-2,160 (UHD), brightness up to 400 </w:t>
      </w:r>
      <w:proofErr w:type="spellStart"/>
      <w:r>
        <w:t>nits</w:t>
      </w:r>
      <w:proofErr w:type="spellEnd"/>
      <w:r>
        <w:t xml:space="preserve"> and 50-point </w:t>
      </w:r>
      <w:proofErr w:type="spellStart"/>
      <w:r>
        <w:t>multitouch</w:t>
      </w:r>
      <w:proofErr w:type="spellEnd"/>
      <w:r>
        <w:t xml:space="preserve"> interaction.</w:t>
      </w:r>
    </w:p>
    <w:p w:rsidR="00300773" w:rsidRDefault="00C653B0">
      <w:pPr>
        <w:spacing w:line="276" w:lineRule="auto"/>
        <w:jc w:val="both"/>
      </w:pPr>
      <w:r>
        <w:br/>
        <w:t xml:space="preserve">In addition to </w:t>
      </w:r>
      <w:proofErr w:type="spellStart"/>
      <w:r>
        <w:t>CreateBoard</w:t>
      </w:r>
      <w:proofErr w:type="spellEnd"/>
      <w:r>
        <w:t xml:space="preserve"> Pro, LG is also featuring two 75-inch </w:t>
      </w:r>
      <w:proofErr w:type="spellStart"/>
      <w:r>
        <w:t>CreateBoard</w:t>
      </w:r>
      <w:proofErr w:type="spellEnd"/>
      <w:r>
        <w:rPr>
          <w:color w:val="1F1F1F"/>
          <w:highlight w:val="white"/>
          <w:vertAlign w:val="superscript"/>
        </w:rPr>
        <w:t>®</w:t>
      </w:r>
      <w:r>
        <w:t xml:space="preserve"> Gen 2 boards, a 136-inch all-in-one </w:t>
      </w:r>
      <w:r>
        <w:rPr>
          <w:i/>
          <w:highlight w:val="white"/>
        </w:rPr>
        <w:t>D</w:t>
      </w:r>
      <w:r>
        <w:rPr>
          <w:i/>
          <w:highlight w:val="white"/>
        </w:rPr>
        <w:t xml:space="preserve">irect View LED </w:t>
      </w:r>
      <w:r>
        <w:t>screen, digital signage displays in many formats and sizes, as well as value priced easy connect displays. The booth will also demonstrate the LG Touch Kiosk featuring Kokomo24/7</w:t>
      </w:r>
      <w:r>
        <w:rPr>
          <w:color w:val="1F1F1F"/>
          <w:highlight w:val="white"/>
          <w:vertAlign w:val="superscript"/>
        </w:rPr>
        <w:t>®</w:t>
      </w:r>
      <w:r>
        <w:t xml:space="preserve">, through its collaboration with </w:t>
      </w:r>
      <w:hyperlink r:id="rId7">
        <w:r>
          <w:rPr>
            <w:color w:val="1155CC"/>
            <w:u w:val="single"/>
          </w:rPr>
          <w:t>Kokomo Solutions Inc.</w:t>
        </w:r>
      </w:hyperlink>
      <w:r>
        <w:t>, designed to bring paired solutions for health, safety and operational efficiency to educational institutions.</w:t>
      </w:r>
    </w:p>
    <w:p w:rsidR="00300773" w:rsidRDefault="00C653B0">
      <w:pPr>
        <w:spacing w:line="276" w:lineRule="auto"/>
        <w:jc w:val="both"/>
      </w:pPr>
      <w:r>
        <w:br/>
        <w:t xml:space="preserve">LG is also encouraging K-12 schools to deepen their relationship with LG through the </w:t>
      </w:r>
      <w:r>
        <w:rPr>
          <w:sz w:val="26"/>
          <w:szCs w:val="26"/>
        </w:rPr>
        <w:t xml:space="preserve">new </w:t>
      </w:r>
      <w:hyperlink r:id="rId8">
        <w:r>
          <w:rPr>
            <w:color w:val="1155CC"/>
            <w:u w:val="single"/>
          </w:rPr>
          <w:t>LG Schools program</w:t>
        </w:r>
      </w:hyperlink>
      <w:r>
        <w:rPr>
          <w:color w:val="222222"/>
        </w:rPr>
        <w:t xml:space="preserve"> that offers LG </w:t>
      </w:r>
      <w:proofErr w:type="spellStart"/>
      <w:r>
        <w:rPr>
          <w:color w:val="222222"/>
        </w:rPr>
        <w:t>edtech</w:t>
      </w:r>
      <w:proofErr w:type="spellEnd"/>
      <w:r>
        <w:rPr>
          <w:color w:val="222222"/>
        </w:rPr>
        <w:t xml:space="preserve"> solutions for schools to test, learn, and deploy. </w:t>
      </w:r>
      <w:r>
        <w:t>T</w:t>
      </w:r>
      <w:r>
        <w:rPr>
          <w:color w:val="222222"/>
        </w:rPr>
        <w:t>he new LG Schools program showcases best practices in advancing learning, gathering valuable feedback to enhance future solu</w:t>
      </w:r>
      <w:r>
        <w:rPr>
          <w:color w:val="222222"/>
        </w:rPr>
        <w:t>tions, and developing on-site demonstration sites for schools outside of the program to visit in order to experience the technology firsthand.</w:t>
      </w:r>
      <w:r>
        <w:rPr>
          <w:color w:val="222222"/>
        </w:rPr>
        <w:br/>
      </w:r>
      <w:r>
        <w:t xml:space="preserve">Teaching professionals can share their love of </w:t>
      </w:r>
      <w:proofErr w:type="spellStart"/>
      <w:r>
        <w:t>EdTech</w:t>
      </w:r>
      <w:proofErr w:type="spellEnd"/>
      <w:r>
        <w:t xml:space="preserve"> through the </w:t>
      </w:r>
      <w:hyperlink r:id="rId9">
        <w:r>
          <w:rPr>
            <w:color w:val="1155CC"/>
            <w:u w:val="single"/>
          </w:rPr>
          <w:t>LG Educator program</w:t>
        </w:r>
      </w:hyperlink>
      <w:r>
        <w:t xml:space="preserve">, a way to inspire other teachers, advance modern learning styles and empower classrooms worldwide. </w:t>
      </w:r>
      <w:r>
        <w:lastRenderedPageBreak/>
        <w:t xml:space="preserve">The unique program gives education professionals platforms to share their best practices and </w:t>
      </w:r>
      <w:proofErr w:type="spellStart"/>
      <w:r>
        <w:t>ed</w:t>
      </w:r>
      <w:proofErr w:type="spellEnd"/>
      <w:r>
        <w:t>-tech success stories with their peers in the education commu</w:t>
      </w:r>
      <w:r>
        <w:t xml:space="preserve">nity. </w:t>
      </w:r>
    </w:p>
    <w:p w:rsidR="00300773" w:rsidRDefault="00C653B0">
      <w:pPr>
        <w:spacing w:line="276" w:lineRule="auto"/>
        <w:jc w:val="both"/>
      </w:pPr>
      <w:r>
        <w:br/>
        <w:t xml:space="preserve">“As a complete education solutions provider, LG delivers virtually everything a teacher needs to deliver exceptional educational learning and administrative outcomes – whether that’s our </w:t>
      </w:r>
      <w:proofErr w:type="spellStart"/>
      <w:r>
        <w:t>EdTech</w:t>
      </w:r>
      <w:proofErr w:type="spellEnd"/>
      <w:r>
        <w:t xml:space="preserve"> technology solutions or education partner programs,” c</w:t>
      </w:r>
      <w:r>
        <w:t xml:space="preserve">ontinued </w:t>
      </w:r>
      <w:proofErr w:type="spellStart"/>
      <w:r>
        <w:t>Sanville</w:t>
      </w:r>
      <w:proofErr w:type="spellEnd"/>
      <w:r>
        <w:t xml:space="preserve">. “Our booth at FETC reflects this commitment. Whether it's notebook computers, interactive displays, desktop monitors or connected TVs, we’ve got a solution for nearly every requirement, all Google-compatible, while also being compatible </w:t>
      </w:r>
      <w:r>
        <w:t>with the Windows</w:t>
      </w:r>
      <w:r>
        <w:rPr>
          <w:color w:val="1F1F1F"/>
          <w:highlight w:val="white"/>
          <w:vertAlign w:val="superscript"/>
        </w:rPr>
        <w:t xml:space="preserve">® </w:t>
      </w:r>
      <w:r>
        <w:t>operating system.”</w:t>
      </w:r>
    </w:p>
    <w:p w:rsidR="00300773" w:rsidRDefault="00C653B0">
      <w:pPr>
        <w:spacing w:line="276" w:lineRule="auto"/>
        <w:jc w:val="both"/>
      </w:pPr>
      <w:r>
        <w:br/>
        <w:t xml:space="preserve">For more information on LG </w:t>
      </w:r>
      <w:proofErr w:type="spellStart"/>
      <w:r>
        <w:t>EdTech</w:t>
      </w:r>
      <w:proofErr w:type="spellEnd"/>
      <w:r>
        <w:t xml:space="preserve"> solutions, click </w:t>
      </w:r>
      <w:hyperlink r:id="rId10">
        <w:r>
          <w:rPr>
            <w:color w:val="1155CC"/>
            <w:u w:val="single"/>
          </w:rPr>
          <w:t>here</w:t>
        </w:r>
      </w:hyperlink>
      <w:r>
        <w:t xml:space="preserve">. For high-res images, click </w:t>
      </w:r>
      <w:hyperlink r:id="rId11">
        <w:r>
          <w:rPr>
            <w:color w:val="1155CC"/>
            <w:u w:val="single"/>
          </w:rPr>
          <w:t>here</w:t>
        </w:r>
      </w:hyperlink>
      <w:r>
        <w:t>.</w:t>
      </w:r>
    </w:p>
    <w:p w:rsidR="00300773" w:rsidRDefault="00300773">
      <w:pPr>
        <w:pBdr>
          <w:top w:val="nil"/>
          <w:left w:val="nil"/>
          <w:bottom w:val="nil"/>
          <w:right w:val="nil"/>
          <w:between w:val="nil"/>
        </w:pBdr>
        <w:spacing w:line="276" w:lineRule="auto"/>
        <w:jc w:val="both"/>
        <w:rPr>
          <w:color w:val="FF0000"/>
        </w:rPr>
      </w:pPr>
    </w:p>
    <w:p w:rsidR="00300773" w:rsidRDefault="00C653B0">
      <w:pPr>
        <w:spacing w:line="276" w:lineRule="auto"/>
        <w:jc w:val="center"/>
        <w:rPr>
          <w:b/>
        </w:rPr>
      </w:pPr>
      <w:r>
        <w:rPr>
          <w:b/>
        </w:rPr>
        <w:t>###</w:t>
      </w:r>
    </w:p>
    <w:p w:rsidR="00300773" w:rsidRDefault="00300773">
      <w:pPr>
        <w:shd w:val="clear" w:color="auto" w:fill="FFFFFF"/>
        <w:spacing w:line="276" w:lineRule="auto"/>
        <w:jc w:val="both"/>
        <w:rPr>
          <w:b/>
          <w:color w:val="C00000"/>
          <w:sz w:val="22"/>
          <w:szCs w:val="22"/>
        </w:rPr>
      </w:pPr>
    </w:p>
    <w:p w:rsidR="00300773" w:rsidRDefault="00C653B0">
      <w:pPr>
        <w:rPr>
          <w:b/>
          <w:color w:val="990000"/>
          <w:sz w:val="20"/>
          <w:szCs w:val="20"/>
        </w:rPr>
      </w:pPr>
      <w:r>
        <w:rPr>
          <w:b/>
          <w:color w:val="990000"/>
          <w:sz w:val="20"/>
          <w:szCs w:val="20"/>
        </w:rPr>
        <w:t>About LG Electronics USA</w:t>
      </w:r>
    </w:p>
    <w:p w:rsidR="00300773" w:rsidRDefault="00C653B0">
      <w:pPr>
        <w:jc w:val="both"/>
        <w:rPr>
          <w:b/>
          <w:color w:val="C00000"/>
          <w:sz w:val="20"/>
          <w:szCs w:val="20"/>
        </w:rPr>
      </w:pPr>
      <w:r>
        <w:rPr>
          <w:sz w:val="20"/>
          <w:szCs w:val="20"/>
        </w:rPr>
        <w:t>LG Electronics USA serves commercial display customers in the U.S. education, lodging and hospitality, digital signag</w:t>
      </w:r>
      <w:r>
        <w:rPr>
          <w:sz w:val="20"/>
          <w:szCs w:val="20"/>
        </w:rPr>
        <w:t>e, systems integration, healthcare, government and industrial markets. Based in Lincolnshire, Ill., with its dedicated engineering and customer support team, LG’s U.S. Media Entertainment Solution B2B division delivers business-to-business technology solut</w:t>
      </w:r>
      <w:r>
        <w:rPr>
          <w:sz w:val="20"/>
          <w:szCs w:val="20"/>
        </w:rPr>
        <w:t>ions tailored to the particular needs of business environments. Eleven-time ENERGY STAR® Partner of the Year LG Electronics USA Inc., headquartered in Englewood Cliffs, N.J., is the North American subsidiary of LG Electronics Inc., a $60-billion-plus globa</w:t>
      </w:r>
      <w:r>
        <w:rPr>
          <w:sz w:val="20"/>
          <w:szCs w:val="20"/>
        </w:rPr>
        <w:t xml:space="preserve">l force in consumer electronics, home appliances, HVAC solutions and vehicle components. For more information, please visit </w:t>
      </w:r>
      <w:hyperlink r:id="rId12">
        <w:r>
          <w:rPr>
            <w:color w:val="1155CC"/>
            <w:sz w:val="20"/>
            <w:szCs w:val="20"/>
            <w:u w:val="single"/>
          </w:rPr>
          <w:t>www.LGSolutions.com</w:t>
        </w:r>
      </w:hyperlink>
      <w:r>
        <w:rPr>
          <w:sz w:val="20"/>
          <w:szCs w:val="20"/>
        </w:rPr>
        <w:t>.</w:t>
      </w:r>
    </w:p>
    <w:p w:rsidR="00300773" w:rsidRDefault="00300773">
      <w:pPr>
        <w:jc w:val="both"/>
        <w:rPr>
          <w:b/>
          <w:color w:val="C00000"/>
          <w:sz w:val="20"/>
          <w:szCs w:val="20"/>
        </w:rPr>
      </w:pPr>
    </w:p>
    <w:p w:rsidR="00300773" w:rsidRDefault="00300773">
      <w:pPr>
        <w:jc w:val="both"/>
        <w:rPr>
          <w:b/>
          <w:color w:val="C00000"/>
          <w:sz w:val="20"/>
          <w:szCs w:val="20"/>
        </w:rPr>
      </w:pPr>
    </w:p>
    <w:p w:rsidR="00300773" w:rsidRDefault="00C653B0">
      <w:pPr>
        <w:shd w:val="clear" w:color="auto" w:fill="FFFFFF"/>
        <w:jc w:val="both"/>
        <w:rPr>
          <w:i/>
          <w:color w:val="222222"/>
          <w:sz w:val="20"/>
          <w:szCs w:val="20"/>
        </w:rPr>
      </w:pPr>
      <w:bookmarkStart w:id="1" w:name="_heading=h.1fob9te" w:colFirst="0" w:colLast="0"/>
      <w:bookmarkEnd w:id="1"/>
      <w:r>
        <w:rPr>
          <w:i/>
          <w:color w:val="222222"/>
          <w:sz w:val="20"/>
          <w:szCs w:val="20"/>
        </w:rPr>
        <w:t xml:space="preserve">Media Contacts: </w:t>
      </w:r>
    </w:p>
    <w:p w:rsidR="00300773" w:rsidRDefault="00300773">
      <w:pPr>
        <w:shd w:val="clear" w:color="auto" w:fill="FFFFFF"/>
        <w:jc w:val="both"/>
        <w:rPr>
          <w:i/>
          <w:color w:val="222222"/>
          <w:sz w:val="20"/>
          <w:szCs w:val="20"/>
        </w:rPr>
      </w:pPr>
    </w:p>
    <w:p w:rsidR="00300773" w:rsidRDefault="00C653B0">
      <w:pPr>
        <w:shd w:val="clear" w:color="auto" w:fill="FFFFFF"/>
        <w:jc w:val="both"/>
        <w:rPr>
          <w:color w:val="222222"/>
          <w:sz w:val="20"/>
          <w:szCs w:val="20"/>
        </w:rPr>
      </w:pPr>
      <w:r>
        <w:rPr>
          <w:color w:val="222222"/>
          <w:sz w:val="20"/>
          <w:szCs w:val="20"/>
        </w:rPr>
        <w:t>LG Electronics USA</w:t>
      </w:r>
    </w:p>
    <w:p w:rsidR="00300773" w:rsidRDefault="00300773">
      <w:pPr>
        <w:shd w:val="clear" w:color="auto" w:fill="FFFFFF"/>
        <w:jc w:val="both"/>
        <w:rPr>
          <w:color w:val="222222"/>
          <w:sz w:val="20"/>
          <w:szCs w:val="20"/>
        </w:rPr>
      </w:pPr>
    </w:p>
    <w:p w:rsidR="00300773" w:rsidRDefault="00C653B0">
      <w:pPr>
        <w:shd w:val="clear" w:color="auto" w:fill="FFFFFF"/>
        <w:jc w:val="both"/>
        <w:rPr>
          <w:color w:val="222222"/>
          <w:sz w:val="20"/>
          <w:szCs w:val="20"/>
        </w:rPr>
      </w:pPr>
      <w:r>
        <w:rPr>
          <w:color w:val="222222"/>
          <w:sz w:val="20"/>
          <w:szCs w:val="20"/>
        </w:rPr>
        <w:t xml:space="preserve">Kim </w:t>
      </w:r>
      <w:proofErr w:type="spellStart"/>
      <w:r>
        <w:rPr>
          <w:color w:val="222222"/>
          <w:sz w:val="20"/>
          <w:szCs w:val="20"/>
        </w:rPr>
        <w:t>Regillio</w:t>
      </w:r>
      <w:proofErr w:type="spellEnd"/>
    </w:p>
    <w:p w:rsidR="00300773" w:rsidRDefault="00C653B0">
      <w:pPr>
        <w:shd w:val="clear" w:color="auto" w:fill="FFFFFF"/>
        <w:jc w:val="both"/>
        <w:rPr>
          <w:color w:val="222222"/>
          <w:sz w:val="20"/>
          <w:szCs w:val="20"/>
        </w:rPr>
      </w:pPr>
      <w:r>
        <w:rPr>
          <w:color w:val="222222"/>
          <w:sz w:val="20"/>
          <w:szCs w:val="20"/>
        </w:rPr>
        <w:t>+1 815 355 0509</w:t>
      </w:r>
    </w:p>
    <w:p w:rsidR="00300773" w:rsidRDefault="00C653B0">
      <w:pPr>
        <w:shd w:val="clear" w:color="auto" w:fill="FFFFFF"/>
        <w:jc w:val="both"/>
        <w:rPr>
          <w:color w:val="0000FF"/>
          <w:sz w:val="20"/>
          <w:szCs w:val="20"/>
        </w:rPr>
      </w:pPr>
      <w:hyperlink r:id="rId13">
        <w:r>
          <w:rPr>
            <w:color w:val="0000FF"/>
            <w:sz w:val="20"/>
            <w:szCs w:val="20"/>
            <w:u w:val="single"/>
          </w:rPr>
          <w:t>kim.regillio@lge.com</w:t>
        </w:r>
      </w:hyperlink>
    </w:p>
    <w:p w:rsidR="00300773" w:rsidRDefault="00300773">
      <w:pPr>
        <w:shd w:val="clear" w:color="auto" w:fill="FFFFFF"/>
        <w:jc w:val="both"/>
        <w:rPr>
          <w:color w:val="0000FF"/>
          <w:sz w:val="20"/>
          <w:szCs w:val="20"/>
        </w:rPr>
      </w:pPr>
    </w:p>
    <w:p w:rsidR="00300773" w:rsidRDefault="00C653B0">
      <w:pPr>
        <w:shd w:val="clear" w:color="auto" w:fill="FFFFFF"/>
        <w:jc w:val="both"/>
        <w:rPr>
          <w:color w:val="222222"/>
          <w:sz w:val="20"/>
          <w:szCs w:val="20"/>
        </w:rPr>
      </w:pPr>
      <w:r>
        <w:rPr>
          <w:color w:val="222222"/>
          <w:sz w:val="20"/>
          <w:szCs w:val="20"/>
        </w:rPr>
        <w:t>Caleigh McDaniel</w:t>
      </w:r>
    </w:p>
    <w:p w:rsidR="00300773" w:rsidRDefault="00C653B0">
      <w:pPr>
        <w:shd w:val="clear" w:color="auto" w:fill="FFFFFF"/>
        <w:jc w:val="both"/>
        <w:rPr>
          <w:color w:val="222222"/>
          <w:sz w:val="20"/>
          <w:szCs w:val="20"/>
        </w:rPr>
      </w:pPr>
      <w:hyperlink r:id="rId14">
        <w:r>
          <w:rPr>
            <w:color w:val="1155CC"/>
            <w:sz w:val="20"/>
            <w:szCs w:val="20"/>
            <w:u w:val="single"/>
          </w:rPr>
          <w:t>caleigh@griffin360.com</w:t>
        </w:r>
      </w:hyperlink>
      <w:r>
        <w:rPr>
          <w:color w:val="222222"/>
          <w:sz w:val="20"/>
          <w:szCs w:val="20"/>
        </w:rPr>
        <w:t xml:space="preserve"> </w:t>
      </w:r>
    </w:p>
    <w:sectPr w:rsidR="00300773">
      <w:headerReference w:type="default" r:id="rId15"/>
      <w:headerReference w:type="first" r:id="rId16"/>
      <w:pgSz w:w="12240" w:h="15840"/>
      <w:pgMar w:top="1890" w:right="144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B0" w:rsidRDefault="00C653B0">
      <w:r>
        <w:separator/>
      </w:r>
    </w:p>
  </w:endnote>
  <w:endnote w:type="continuationSeparator" w:id="0">
    <w:p w:rsidR="00C653B0" w:rsidRDefault="00C6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LG EI Text Ligh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B0" w:rsidRDefault="00C653B0">
      <w:r>
        <w:separator/>
      </w:r>
    </w:p>
  </w:footnote>
  <w:footnote w:type="continuationSeparator" w:id="0">
    <w:p w:rsidR="00C653B0" w:rsidRDefault="00C65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73" w:rsidRDefault="00300773">
    <w:pPr>
      <w:pBdr>
        <w:top w:val="nil"/>
        <w:left w:val="nil"/>
        <w:bottom w:val="nil"/>
        <w:right w:val="nil"/>
        <w:between w:val="nil"/>
      </w:pBdr>
      <w:tabs>
        <w:tab w:val="left" w:pos="152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73" w:rsidRDefault="00C653B0">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 xml:space="preserve"> </w:t>
    </w:r>
    <w:r>
      <w:rPr>
        <w:noProof/>
      </w:rPr>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93985</wp:posOffset>
          </wp:positionV>
          <wp:extent cx="950595" cy="163195"/>
          <wp:effectExtent l="0" t="0" r="0" b="0"/>
          <wp:wrapSquare wrapText="bothSides" distT="0" distB="0" distL="114300" distR="114300"/>
          <wp:docPr id="12050342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50595" cy="16319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852170" cy="389890"/>
          <wp:effectExtent l="0" t="0" r="0" b="0"/>
          <wp:wrapSquare wrapText="bothSides" distT="0" distB="0" distL="0" distR="0"/>
          <wp:docPr id="1205034214"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
                  <a:srcRect/>
                  <a:stretch>
                    <a:fillRect/>
                  </a:stretch>
                </pic:blipFill>
                <pic:spPr>
                  <a:xfrm>
                    <a:off x="0" y="0"/>
                    <a:ext cx="852170" cy="389890"/>
                  </a:xfrm>
                  <a:prstGeom prst="rect">
                    <a:avLst/>
                  </a:prstGeom>
                  <a:ln/>
                </pic:spPr>
              </pic:pic>
            </a:graphicData>
          </a:graphic>
        </wp:anchor>
      </w:drawing>
    </w:r>
  </w:p>
  <w:p w:rsidR="00300773" w:rsidRDefault="00300773">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p>
  <w:p w:rsidR="00300773" w:rsidRDefault="00C653B0">
    <w:pPr>
      <w:pBdr>
        <w:top w:val="nil"/>
        <w:left w:val="nil"/>
        <w:bottom w:val="nil"/>
        <w:right w:val="nil"/>
        <w:between w:val="nil"/>
      </w:pBdr>
      <w:tabs>
        <w:tab w:val="center" w:pos="4680"/>
        <w:tab w:val="right" w:pos="9360"/>
      </w:tabs>
      <w:jc w:val="both"/>
      <w:rPr>
        <w:rFonts w:ascii="Calibri" w:eastAsia="Calibri" w:hAnsi="Calibri" w:cs="Calibri"/>
        <w:color w:val="000000"/>
      </w:rPr>
    </w:pPr>
    <w:r>
      <w:rPr>
        <w:rFonts w:ascii="Trebuchet MS" w:eastAsia="Trebuchet MS" w:hAnsi="Trebuchet MS" w:cs="Trebuchet MS"/>
        <w:b/>
        <w:color w:val="808080"/>
        <w:sz w:val="18"/>
        <w:szCs w:val="18"/>
      </w:rPr>
      <w:tab/>
    </w:r>
  </w:p>
  <w:p w:rsidR="00300773" w:rsidRDefault="00300773">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73"/>
    <w:rsid w:val="00142461"/>
    <w:rsid w:val="00300773"/>
    <w:rsid w:val="00C6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CAAEB-8D45-472B-A271-7B7E6698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6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C6581"/>
    <w:rPr>
      <w:rFonts w:ascii="Tahoma" w:hAnsi="Tahoma" w:cs="Tahoma"/>
      <w:sz w:val="16"/>
      <w:szCs w:val="16"/>
    </w:rPr>
  </w:style>
  <w:style w:type="character" w:customStyle="1" w:styleId="BalloonTextChar">
    <w:name w:val="Balloon Text Char"/>
    <w:basedOn w:val="DefaultParagraphFont"/>
    <w:link w:val="BalloonText"/>
    <w:uiPriority w:val="99"/>
    <w:semiHidden/>
    <w:rsid w:val="003C6581"/>
    <w:rPr>
      <w:rFonts w:ascii="Tahoma" w:hAnsi="Tahoma" w:cs="Tahoma"/>
      <w:sz w:val="16"/>
      <w:szCs w:val="16"/>
    </w:rPr>
  </w:style>
  <w:style w:type="character" w:styleId="CommentReference">
    <w:name w:val="annotation reference"/>
    <w:basedOn w:val="DefaultParagraphFont"/>
    <w:uiPriority w:val="99"/>
    <w:semiHidden/>
    <w:unhideWhenUsed/>
    <w:rsid w:val="003C6581"/>
    <w:rPr>
      <w:sz w:val="16"/>
      <w:szCs w:val="16"/>
    </w:rPr>
  </w:style>
  <w:style w:type="paragraph" w:styleId="CommentText">
    <w:name w:val="annotation text"/>
    <w:basedOn w:val="Normal"/>
    <w:link w:val="CommentTextChar"/>
    <w:uiPriority w:val="99"/>
    <w:unhideWhenUsed/>
    <w:rsid w:val="003C6581"/>
    <w:rPr>
      <w:sz w:val="20"/>
      <w:szCs w:val="20"/>
    </w:rPr>
  </w:style>
  <w:style w:type="character" w:customStyle="1" w:styleId="CommentTextChar">
    <w:name w:val="Comment Text Char"/>
    <w:basedOn w:val="DefaultParagraphFont"/>
    <w:link w:val="CommentText"/>
    <w:uiPriority w:val="99"/>
    <w:rsid w:val="003C6581"/>
    <w:rPr>
      <w:sz w:val="20"/>
      <w:szCs w:val="20"/>
    </w:rPr>
  </w:style>
  <w:style w:type="paragraph" w:styleId="CommentSubject">
    <w:name w:val="annotation subject"/>
    <w:basedOn w:val="CommentText"/>
    <w:next w:val="CommentText"/>
    <w:link w:val="CommentSubjectChar"/>
    <w:uiPriority w:val="99"/>
    <w:semiHidden/>
    <w:unhideWhenUsed/>
    <w:rsid w:val="003C6581"/>
    <w:rPr>
      <w:b/>
      <w:bCs/>
    </w:rPr>
  </w:style>
  <w:style w:type="character" w:customStyle="1" w:styleId="CommentSubjectChar">
    <w:name w:val="Comment Subject Char"/>
    <w:basedOn w:val="CommentTextChar"/>
    <w:link w:val="CommentSubject"/>
    <w:uiPriority w:val="99"/>
    <w:semiHidden/>
    <w:rsid w:val="003C6581"/>
    <w:rPr>
      <w:b/>
      <w:bCs/>
      <w:sz w:val="20"/>
      <w:szCs w:val="20"/>
    </w:rPr>
  </w:style>
  <w:style w:type="character" w:styleId="Hyperlink">
    <w:name w:val="Hyperlink"/>
    <w:basedOn w:val="DefaultParagraphFont"/>
    <w:uiPriority w:val="99"/>
    <w:unhideWhenUsed/>
    <w:rsid w:val="00A04232"/>
    <w:rPr>
      <w:color w:val="0000FF" w:themeColor="hyperlink"/>
      <w:u w:val="single"/>
    </w:rPr>
  </w:style>
  <w:style w:type="character" w:customStyle="1" w:styleId="UnresolvedMention1">
    <w:name w:val="Unresolved Mention1"/>
    <w:basedOn w:val="DefaultParagraphFont"/>
    <w:uiPriority w:val="99"/>
    <w:semiHidden/>
    <w:unhideWhenUsed/>
    <w:rsid w:val="00A04232"/>
    <w:rPr>
      <w:color w:val="605E5C"/>
      <w:shd w:val="clear" w:color="auto" w:fill="E1DFDD"/>
    </w:rPr>
  </w:style>
  <w:style w:type="character" w:styleId="FollowedHyperlink">
    <w:name w:val="FollowedHyperlink"/>
    <w:basedOn w:val="DefaultParagraphFont"/>
    <w:uiPriority w:val="99"/>
    <w:semiHidden/>
    <w:unhideWhenUsed/>
    <w:rsid w:val="004D2DDB"/>
    <w:rPr>
      <w:color w:val="800080" w:themeColor="followedHyperlink"/>
      <w:u w:val="single"/>
    </w:rPr>
  </w:style>
  <w:style w:type="paragraph" w:styleId="Revision">
    <w:name w:val="Revision"/>
    <w:hidden/>
    <w:uiPriority w:val="99"/>
    <w:semiHidden/>
    <w:rsid w:val="00DC2D94"/>
  </w:style>
  <w:style w:type="character" w:customStyle="1" w:styleId="UnresolvedMention2">
    <w:name w:val="Unresolved Mention2"/>
    <w:basedOn w:val="DefaultParagraphFont"/>
    <w:uiPriority w:val="99"/>
    <w:semiHidden/>
    <w:unhideWhenUsed/>
    <w:rsid w:val="00C20046"/>
    <w:rPr>
      <w:color w:val="605E5C"/>
      <w:shd w:val="clear" w:color="auto" w:fill="E1DFDD"/>
    </w:rPr>
  </w:style>
  <w:style w:type="paragraph" w:styleId="Header">
    <w:name w:val="header"/>
    <w:basedOn w:val="Normal"/>
    <w:link w:val="HeaderChar"/>
    <w:uiPriority w:val="99"/>
    <w:unhideWhenUsed/>
    <w:rsid w:val="00441DC3"/>
    <w:pPr>
      <w:tabs>
        <w:tab w:val="center" w:pos="4680"/>
        <w:tab w:val="right" w:pos="9360"/>
      </w:tabs>
    </w:pPr>
  </w:style>
  <w:style w:type="character" w:customStyle="1" w:styleId="HeaderChar">
    <w:name w:val="Header Char"/>
    <w:basedOn w:val="DefaultParagraphFont"/>
    <w:link w:val="Header"/>
    <w:uiPriority w:val="99"/>
    <w:rsid w:val="00441DC3"/>
  </w:style>
  <w:style w:type="paragraph" w:styleId="Footer">
    <w:name w:val="footer"/>
    <w:basedOn w:val="Normal"/>
    <w:link w:val="FooterChar"/>
    <w:uiPriority w:val="99"/>
    <w:unhideWhenUsed/>
    <w:rsid w:val="00441DC3"/>
    <w:pPr>
      <w:tabs>
        <w:tab w:val="center" w:pos="4680"/>
        <w:tab w:val="right" w:pos="9360"/>
      </w:tabs>
    </w:pPr>
  </w:style>
  <w:style w:type="character" w:customStyle="1" w:styleId="FooterChar">
    <w:name w:val="Footer Char"/>
    <w:basedOn w:val="DefaultParagraphFont"/>
    <w:link w:val="Footer"/>
    <w:uiPriority w:val="99"/>
    <w:rsid w:val="00441DC3"/>
  </w:style>
  <w:style w:type="paragraph" w:styleId="NormalWeb">
    <w:name w:val="Normal (Web)"/>
    <w:basedOn w:val="Normal"/>
    <w:uiPriority w:val="99"/>
    <w:unhideWhenUsed/>
    <w:rsid w:val="00AC767B"/>
    <w:pPr>
      <w:spacing w:before="100" w:beforeAutospacing="1" w:after="100" w:afterAutospacing="1"/>
    </w:pPr>
  </w:style>
  <w:style w:type="paragraph" w:customStyle="1" w:styleId="Pa1">
    <w:name w:val="Pa1"/>
    <w:basedOn w:val="Normal"/>
    <w:next w:val="Normal"/>
    <w:uiPriority w:val="99"/>
    <w:rsid w:val="00697892"/>
    <w:pPr>
      <w:widowControl w:val="0"/>
      <w:autoSpaceDE w:val="0"/>
      <w:autoSpaceDN w:val="0"/>
      <w:adjustRightInd w:val="0"/>
      <w:spacing w:line="241" w:lineRule="atLeast"/>
    </w:pPr>
    <w:rPr>
      <w:rFonts w:ascii="LG EI Text Light" w:eastAsia="LG EI Text Light"/>
    </w:rPr>
  </w:style>
  <w:style w:type="character" w:customStyle="1" w:styleId="A9">
    <w:name w:val="A9"/>
    <w:uiPriority w:val="99"/>
    <w:rsid w:val="00697892"/>
    <w:rPr>
      <w:rFonts w:cs="LG EI Text Light"/>
      <w:color w:val="000000"/>
      <w:sz w:val="16"/>
      <w:szCs w:val="16"/>
    </w:rPr>
  </w:style>
  <w:style w:type="character" w:customStyle="1" w:styleId="UnresolvedMention">
    <w:name w:val="Unresolved Mention"/>
    <w:basedOn w:val="DefaultParagraphFont"/>
    <w:uiPriority w:val="99"/>
    <w:semiHidden/>
    <w:unhideWhenUsed/>
    <w:rsid w:val="0057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2bmkt.lge.com/us-lg-schools" TargetMode="External"/><Relationship Id="rId13" Type="http://schemas.openxmlformats.org/officeDocument/2006/relationships/hyperlink" Target="mailto:kim.regillio@l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komo247.com/" TargetMode="External"/><Relationship Id="rId12" Type="http://schemas.openxmlformats.org/officeDocument/2006/relationships/hyperlink" Target="http://www.lgsolutio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drive/folders/1xxrrdVX46TIxcTDGx8wa99klsEhmKhvT?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g.com/us/business/vertical-markets-solutions/education" TargetMode="External"/><Relationship Id="rId4" Type="http://schemas.openxmlformats.org/officeDocument/2006/relationships/webSettings" Target="webSettings.xml"/><Relationship Id="rId9" Type="http://schemas.openxmlformats.org/officeDocument/2006/relationships/hyperlink" Target="https://b2bmkt.lge.com/us-LG-Educators" TargetMode="External"/><Relationship Id="rId14" Type="http://schemas.openxmlformats.org/officeDocument/2006/relationships/hyperlink" Target="mailto:caleigh@griffin360.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lioAtGDdUDGSdZ+1YY9WxGV9g==">CgMxLjAyCWguMWZvYjl0ZTgAciExbmJxRnRmbEoyWDRETFFBUXlDX3dTbFZjLUVhaWt5eXo=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Company>LG</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Relations(kim.regillio@lge.com)</dc:creator>
  <cp:lastModifiedBy>Brandy Hauman</cp:lastModifiedBy>
  <cp:revision>2</cp:revision>
  <dcterms:created xsi:type="dcterms:W3CDTF">2025-01-07T20:43:00Z</dcterms:created>
  <dcterms:modified xsi:type="dcterms:W3CDTF">2025-01-14T15:45:00Z</dcterms:modified>
</cp:coreProperties>
</file>